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2020. január 30-a</w:t>
      </w:r>
      <w:r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Pr="00F4426F" w:rsidRDefault="00AF5F3D" w:rsidP="00AF5F3D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dr. Várszegi József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 Elnöke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tv.)</w:t>
      </w:r>
      <w:r w:rsidR="00641125" w:rsidRPr="00EF3FB7">
        <w:rPr>
          <w:rFonts w:ascii="Century Gothic" w:hAnsi="Century Gothic" w:cs="Arial"/>
          <w:sz w:val="20"/>
          <w:szCs w:val="20"/>
        </w:rPr>
        <w:t>,</w:t>
      </w:r>
      <w:r w:rsidR="00B75FDF" w:rsidRPr="00EF3FB7">
        <w:rPr>
          <w:rFonts w:ascii="Century Gothic" w:hAnsi="Century Gothic" w:cs="Arial"/>
          <w:sz w:val="20"/>
          <w:szCs w:val="20"/>
        </w:rPr>
        <w:t xml:space="preserve"> </w:t>
      </w:r>
      <w:r w:rsidR="00B959B1" w:rsidRPr="00EF3F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A04759" w:rsidRPr="00EF3FB7">
        <w:rPr>
          <w:rFonts w:ascii="Century Gothic" w:hAnsi="Century Gothic" w:cs="Arial"/>
          <w:sz w:val="20"/>
          <w:szCs w:val="20"/>
        </w:rPr>
        <w:t xml:space="preserve"> 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A159E7" w:rsidRPr="00EF3FB7">
        <w:rPr>
          <w:rFonts w:ascii="Century Gothic" w:hAnsi="Century Gothic" w:cs="Arial"/>
          <w:sz w:val="20"/>
          <w:szCs w:val="20"/>
        </w:rPr>
        <w:t>Az információs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  <w:r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1B7F6F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r w:rsidR="00A47E1B" w:rsidRPr="00EF3FB7">
        <w:rPr>
          <w:rFonts w:ascii="Century Gothic" w:hAnsi="Century Gothic" w:cs="Arial"/>
          <w:i/>
          <w:sz w:val="20"/>
          <w:szCs w:val="20"/>
        </w:rPr>
        <w:t>Mötv.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0C6E18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bek.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36A11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C5BD3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39. § (2) bek.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  <w:r w:rsidR="000413F4"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nyt. 5. § (1) bekezdés cb) pont].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nytv.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[Vnytv. 9. § (2) bek.]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</w:t>
      </w:r>
    </w:p>
    <w:p w:rsidR="00082B1F" w:rsidRDefault="00082B1F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kötelezettségüknek a polgármester, al</w:t>
      </w:r>
      <w:r w:rsidR="00A953CB" w:rsidRPr="00EF3FB7">
        <w:rPr>
          <w:rFonts w:ascii="Century Gothic" w:hAnsi="Century Gothic" w:cs="Arial"/>
          <w:iCs/>
          <w:sz w:val="20"/>
          <w:szCs w:val="20"/>
        </w:rPr>
        <w:t>polgármester és a képviselők határidőben eleget tettek.</w:t>
      </w:r>
    </w:p>
    <w:p w:rsidR="00EF3FB7" w:rsidRPr="00EF3FB7" w:rsidRDefault="00EF3FB7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 xml:space="preserve">Balatonberény Község Önkormányzat Képviselő-testülete – a PTKI Bizottság tájékoztatása alapján – megállapítja, hogy a megválasztott polgármester, alpolgármester </w:t>
      </w:r>
      <w:r w:rsidR="00EE4D15">
        <w:rPr>
          <w:rFonts w:ascii="Century Gothic" w:hAnsi="Century Gothic"/>
          <w:sz w:val="20"/>
          <w:szCs w:val="20"/>
        </w:rPr>
        <w:t>és képviselők 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CA2CA3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AF5F3D">
        <w:rPr>
          <w:rFonts w:ascii="Century Gothic" w:hAnsi="Century Gothic"/>
          <w:sz w:val="20"/>
          <w:szCs w:val="20"/>
        </w:rPr>
        <w:t>Határidő: 2020. január 30.</w:t>
      </w:r>
    </w:p>
    <w:p w:rsidR="00CA2CA3" w:rsidRPr="00AF5F3D" w:rsidRDefault="00CA2CA3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AF5F3D">
        <w:rPr>
          <w:rFonts w:ascii="Century Gothic" w:hAnsi="Century Gothic"/>
          <w:sz w:val="20"/>
          <w:szCs w:val="20"/>
        </w:rPr>
        <w:t>Felelős: Horváth László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>Balatonberény, 2020. január 28.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dr. Várszegi József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       PTKI elnöke</w:t>
      </w:r>
    </w:p>
    <w:sectPr w:rsidR="00CA2CA3" w:rsidRPr="00AF5F3D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441" w:rsidRDefault="00127441">
      <w:r>
        <w:separator/>
      </w:r>
    </w:p>
  </w:endnote>
  <w:endnote w:type="continuationSeparator" w:id="1">
    <w:p w:rsidR="00127441" w:rsidRDefault="00127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441" w:rsidRDefault="00127441">
      <w:r>
        <w:separator/>
      </w:r>
    </w:p>
  </w:footnote>
  <w:footnote w:type="continuationSeparator" w:id="1">
    <w:p w:rsidR="00127441" w:rsidRDefault="00127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147B4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147B4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E4D15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E067D"/>
    <w:rsid w:val="004E7ABA"/>
    <w:rsid w:val="004F1FF7"/>
    <w:rsid w:val="004F5205"/>
    <w:rsid w:val="005023ED"/>
    <w:rsid w:val="005036DE"/>
    <w:rsid w:val="00506B26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61B26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953"/>
    <w:rsid w:val="00E46B4E"/>
    <w:rsid w:val="00E5652C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Heading1">
    <w:name w:val="Heading 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2B663-D98B-43E5-82CD-80493853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3</cp:revision>
  <dcterms:created xsi:type="dcterms:W3CDTF">2020-01-23T08:54:00Z</dcterms:created>
  <dcterms:modified xsi:type="dcterms:W3CDTF">2020-01-23T08:56:00Z</dcterms:modified>
</cp:coreProperties>
</file>