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809" w:rsidRDefault="006F6809">
      <w:pPr>
        <w:pStyle w:val="Szvegtrzs"/>
        <w:spacing w:before="240" w:after="480" w:line="240" w:lineRule="auto"/>
        <w:jc w:val="center"/>
        <w:rPr>
          <w:b/>
          <w:bCs/>
        </w:rPr>
      </w:pPr>
    </w:p>
    <w:p w:rsidR="006F6809" w:rsidRDefault="006F6809" w:rsidP="006F6809">
      <w:pPr>
        <w:tabs>
          <w:tab w:val="left" w:pos="3960"/>
        </w:tabs>
        <w:jc w:val="center"/>
        <w:rPr>
          <w:rFonts w:ascii="Century Gothic" w:eastAsia="Arial Unicode MS" w:hAnsi="Century Gothic"/>
          <w:b/>
          <w:sz w:val="36"/>
          <w:szCs w:val="36"/>
        </w:rPr>
      </w:pPr>
      <w:r>
        <w:rPr>
          <w:rFonts w:ascii="Century Gothic" w:eastAsia="Arial Unicode MS" w:hAnsi="Century Gothic"/>
          <w:b/>
          <w:sz w:val="36"/>
          <w:szCs w:val="36"/>
        </w:rPr>
        <w:t xml:space="preserve">ELŐTERJESZTÉS  </w:t>
      </w:r>
    </w:p>
    <w:p w:rsidR="006F6809" w:rsidRDefault="006F6809" w:rsidP="006F6809">
      <w:pPr>
        <w:tabs>
          <w:tab w:val="left" w:pos="3960"/>
        </w:tabs>
        <w:jc w:val="center"/>
        <w:rPr>
          <w:rFonts w:ascii="Century Gothic" w:eastAsia="Arial Unicode MS" w:hAnsi="Century Gothic"/>
          <w:b/>
          <w:sz w:val="36"/>
          <w:szCs w:val="36"/>
        </w:rPr>
      </w:pPr>
    </w:p>
    <w:p w:rsidR="006F6809" w:rsidRDefault="006F6809" w:rsidP="006F6809">
      <w:pPr>
        <w:jc w:val="center"/>
        <w:rPr>
          <w:rFonts w:ascii="Century Gothic" w:hAnsi="Century Gothic"/>
          <w:sz w:val="36"/>
          <w:szCs w:val="36"/>
        </w:rPr>
      </w:pPr>
      <w:r>
        <w:rPr>
          <w:rFonts w:ascii="Century Gothic" w:hAnsi="Century Gothic"/>
          <w:b/>
          <w:noProof/>
          <w:sz w:val="36"/>
          <w:szCs w:val="36"/>
          <w:lang w:eastAsia="hu-HU" w:bidi="ar-SA"/>
        </w:rPr>
        <w:drawing>
          <wp:inline distT="0" distB="0" distL="0" distR="0">
            <wp:extent cx="1092835" cy="1258570"/>
            <wp:effectExtent l="19050" t="0" r="0" b="0"/>
            <wp:docPr id="1" name="Kép 1" descr="Balatonbereny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Balatonbereny_265"/>
                    <pic:cNvPicPr>
                      <a:picLocks noChangeAspect="1" noChangeArrowheads="1"/>
                    </pic:cNvPicPr>
                  </pic:nvPicPr>
                  <pic:blipFill>
                    <a:blip r:embed="rId7" cstate="print"/>
                    <a:srcRect/>
                    <a:stretch>
                      <a:fillRect/>
                    </a:stretch>
                  </pic:blipFill>
                  <pic:spPr bwMode="auto">
                    <a:xfrm>
                      <a:off x="0" y="0"/>
                      <a:ext cx="1092835" cy="1258570"/>
                    </a:xfrm>
                    <a:prstGeom prst="rect">
                      <a:avLst/>
                    </a:prstGeom>
                    <a:noFill/>
                    <a:ln w="9525">
                      <a:noFill/>
                      <a:miter lim="800000"/>
                      <a:headEnd/>
                      <a:tailEnd/>
                    </a:ln>
                  </pic:spPr>
                </pic:pic>
              </a:graphicData>
            </a:graphic>
          </wp:inline>
        </w:drawing>
      </w:r>
    </w:p>
    <w:p w:rsidR="006F6809" w:rsidRDefault="006F6809" w:rsidP="006F6809">
      <w:pPr>
        <w:jc w:val="center"/>
        <w:rPr>
          <w:rFonts w:ascii="Century Gothic" w:hAnsi="Century Gothic"/>
          <w:sz w:val="36"/>
          <w:szCs w:val="36"/>
        </w:rPr>
      </w:pPr>
    </w:p>
    <w:p w:rsidR="006F6809" w:rsidRDefault="006F6809" w:rsidP="006F6809">
      <w:pPr>
        <w:jc w:val="center"/>
        <w:rPr>
          <w:rFonts w:ascii="Century Gothic" w:eastAsia="Arial Unicode MS" w:hAnsi="Century Gothic"/>
          <w:sz w:val="36"/>
          <w:szCs w:val="36"/>
        </w:rPr>
      </w:pPr>
    </w:p>
    <w:p w:rsidR="006F6809" w:rsidRDefault="006F6809" w:rsidP="006F6809">
      <w:pPr>
        <w:jc w:val="center"/>
        <w:rPr>
          <w:rFonts w:ascii="Century Gothic" w:eastAsia="Arial Unicode MS" w:hAnsi="Century Gothic"/>
          <w:sz w:val="36"/>
          <w:szCs w:val="36"/>
        </w:rPr>
      </w:pPr>
      <w:r>
        <w:rPr>
          <w:rFonts w:ascii="Century Gothic" w:eastAsia="Arial Unicode MS" w:hAnsi="Century Gothic"/>
          <w:sz w:val="36"/>
          <w:szCs w:val="36"/>
        </w:rPr>
        <w:t>BALATONBERÉNY KÖZSÉG ÖNKORMÁNYZATI KÉPVISELŐ-TESTÜLETÉNEK</w:t>
      </w:r>
    </w:p>
    <w:p w:rsidR="006F6809" w:rsidRDefault="006F6809" w:rsidP="006F6809">
      <w:pPr>
        <w:jc w:val="center"/>
        <w:rPr>
          <w:rFonts w:ascii="Century Gothic" w:eastAsia="Arial Unicode MS" w:hAnsi="Century Gothic"/>
          <w:sz w:val="36"/>
          <w:szCs w:val="36"/>
        </w:rPr>
      </w:pPr>
    </w:p>
    <w:p w:rsidR="006F6809" w:rsidRDefault="006F6809" w:rsidP="006F6809">
      <w:pPr>
        <w:jc w:val="center"/>
        <w:rPr>
          <w:rFonts w:ascii="Century Gothic" w:eastAsia="Arial Unicode MS" w:hAnsi="Century Gothic"/>
          <w:sz w:val="36"/>
          <w:szCs w:val="36"/>
        </w:rPr>
      </w:pPr>
    </w:p>
    <w:p w:rsidR="006F6809" w:rsidRDefault="006F6809" w:rsidP="006F6809">
      <w:pPr>
        <w:jc w:val="center"/>
        <w:rPr>
          <w:rFonts w:ascii="Century Gothic" w:eastAsia="Arial Unicode MS" w:hAnsi="Century Gothic"/>
          <w:b/>
          <w:sz w:val="36"/>
          <w:szCs w:val="36"/>
        </w:rPr>
      </w:pPr>
      <w:r>
        <w:rPr>
          <w:rFonts w:ascii="Century Gothic" w:eastAsia="Arial Unicode MS" w:hAnsi="Century Gothic"/>
          <w:b/>
          <w:sz w:val="36"/>
          <w:szCs w:val="36"/>
        </w:rPr>
        <w:t xml:space="preserve">2021. november 25-ei nyilvános ülésére </w:t>
      </w:r>
    </w:p>
    <w:p w:rsidR="006F6809" w:rsidRDefault="006F6809" w:rsidP="006F6809">
      <w:pPr>
        <w:jc w:val="center"/>
        <w:rPr>
          <w:rFonts w:ascii="Century Gothic" w:eastAsia="Arial Unicode MS" w:hAnsi="Century Gothic"/>
          <w:b/>
          <w:sz w:val="36"/>
          <w:szCs w:val="36"/>
        </w:rPr>
      </w:pPr>
    </w:p>
    <w:p w:rsidR="006F6809" w:rsidRDefault="006F6809" w:rsidP="006F6809">
      <w:pPr>
        <w:jc w:val="center"/>
        <w:rPr>
          <w:rFonts w:ascii="Century Gothic" w:eastAsia="Arial Unicode MS" w:hAnsi="Century Gothic"/>
          <w:b/>
          <w:sz w:val="36"/>
          <w:szCs w:val="36"/>
        </w:rPr>
      </w:pPr>
    </w:p>
    <w:p w:rsidR="006F6809" w:rsidRDefault="006F6809" w:rsidP="006F6809">
      <w:pPr>
        <w:jc w:val="center"/>
        <w:rPr>
          <w:rFonts w:ascii="Century Gothic" w:eastAsia="Arial Unicode MS" w:hAnsi="Century Gothic"/>
          <w:b/>
          <w:sz w:val="36"/>
          <w:szCs w:val="36"/>
        </w:rPr>
      </w:pPr>
      <w:r>
        <w:rPr>
          <w:rFonts w:ascii="Century Gothic" w:eastAsia="Arial Unicode MS" w:hAnsi="Century Gothic"/>
          <w:b/>
          <w:sz w:val="36"/>
          <w:szCs w:val="36"/>
        </w:rPr>
        <w:t>TÁRGY:</w:t>
      </w:r>
    </w:p>
    <w:p w:rsidR="006F6809" w:rsidRDefault="006F6809" w:rsidP="006F6809">
      <w:pPr>
        <w:pStyle w:val="Szvegtrzs"/>
        <w:spacing w:before="240" w:after="480" w:line="240" w:lineRule="auto"/>
        <w:jc w:val="center"/>
        <w:rPr>
          <w:b/>
          <w:bCs/>
        </w:rPr>
      </w:pPr>
      <w:r>
        <w:rPr>
          <w:b/>
          <w:bCs/>
        </w:rPr>
        <w:t>A nem közművel összegyűjtött háztartási szennyvíz begyűjtésére vonatkozó helyi közszolgáltatásról szóló 26/2013.(XII.20.) önkormányzati rendelet módosításáról szóló 13/2021.(XI.2.) önkormányzati rendelet hatályba nem lépéséről szóló önkormányzati rendelet elfogadása</w:t>
      </w:r>
    </w:p>
    <w:p w:rsidR="006F6809" w:rsidRDefault="006F6809" w:rsidP="006F6809">
      <w:pPr>
        <w:jc w:val="center"/>
        <w:rPr>
          <w:rFonts w:ascii="Century Gothic" w:eastAsia="Arial Unicode MS" w:hAnsi="Century Gothic"/>
          <w:b/>
          <w:sz w:val="36"/>
          <w:szCs w:val="36"/>
        </w:rPr>
      </w:pPr>
    </w:p>
    <w:p w:rsidR="006F6809" w:rsidRDefault="006F6809" w:rsidP="006F6809">
      <w:pPr>
        <w:jc w:val="center"/>
        <w:rPr>
          <w:rFonts w:ascii="Century Gothic" w:eastAsia="Arial Unicode MS" w:hAnsi="Century Gothic"/>
          <w:b/>
          <w:sz w:val="36"/>
          <w:szCs w:val="36"/>
        </w:rPr>
      </w:pPr>
    </w:p>
    <w:p w:rsidR="006F6809" w:rsidRDefault="006F6809" w:rsidP="006F6809">
      <w:pPr>
        <w:jc w:val="center"/>
        <w:rPr>
          <w:rFonts w:ascii="Century Gothic" w:eastAsia="Arial Unicode MS" w:hAnsi="Century Gothic"/>
          <w:b/>
          <w:sz w:val="36"/>
          <w:szCs w:val="36"/>
        </w:rPr>
      </w:pPr>
      <w:r>
        <w:rPr>
          <w:rFonts w:ascii="Century Gothic" w:eastAsia="Arial Unicode MS" w:hAnsi="Century Gothic"/>
          <w:b/>
          <w:sz w:val="36"/>
          <w:szCs w:val="36"/>
        </w:rPr>
        <w:t>Előadó:</w:t>
      </w:r>
    </w:p>
    <w:p w:rsidR="006F6809" w:rsidRDefault="006F6809" w:rsidP="006F6809">
      <w:pPr>
        <w:jc w:val="center"/>
        <w:rPr>
          <w:rFonts w:ascii="Century Gothic" w:eastAsia="Arial Unicode MS" w:hAnsi="Century Gothic"/>
          <w:b/>
          <w:sz w:val="36"/>
          <w:szCs w:val="36"/>
        </w:rPr>
      </w:pPr>
      <w:r>
        <w:rPr>
          <w:rFonts w:ascii="Century Gothic" w:eastAsia="Arial Unicode MS" w:hAnsi="Century Gothic"/>
          <w:b/>
          <w:sz w:val="36"/>
          <w:szCs w:val="36"/>
        </w:rPr>
        <w:t xml:space="preserve">Mestyán Valéria </w:t>
      </w:r>
    </w:p>
    <w:p w:rsidR="006F6809" w:rsidRDefault="006F6809" w:rsidP="006F6809">
      <w:pPr>
        <w:jc w:val="center"/>
        <w:rPr>
          <w:rFonts w:ascii="Century Gothic" w:eastAsia="Arial Unicode MS" w:hAnsi="Century Gothic"/>
          <w:b/>
          <w:sz w:val="36"/>
          <w:szCs w:val="36"/>
        </w:rPr>
      </w:pPr>
      <w:r>
        <w:rPr>
          <w:rFonts w:ascii="Century Gothic" w:eastAsia="Arial Unicode MS" w:hAnsi="Century Gothic"/>
          <w:b/>
          <w:sz w:val="36"/>
          <w:szCs w:val="36"/>
        </w:rPr>
        <w:t xml:space="preserve">címzetes főjegyző </w:t>
      </w:r>
    </w:p>
    <w:p w:rsidR="006F6809" w:rsidRDefault="006F6809">
      <w:pPr>
        <w:pStyle w:val="Szvegtrzs"/>
        <w:spacing w:before="240" w:after="480" w:line="240" w:lineRule="auto"/>
        <w:jc w:val="center"/>
        <w:rPr>
          <w:b/>
          <w:bCs/>
        </w:rPr>
      </w:pPr>
    </w:p>
    <w:p w:rsidR="006F6809" w:rsidRDefault="006F6809">
      <w:pPr>
        <w:pStyle w:val="Szvegtrzs"/>
        <w:spacing w:before="240" w:after="480" w:line="240" w:lineRule="auto"/>
        <w:jc w:val="center"/>
        <w:rPr>
          <w:b/>
          <w:bCs/>
        </w:rPr>
      </w:pPr>
    </w:p>
    <w:p w:rsidR="006F6809" w:rsidRDefault="00E65A90" w:rsidP="00E65A90">
      <w:pPr>
        <w:pStyle w:val="Szvegtrzs"/>
        <w:spacing w:before="240" w:after="480" w:line="240" w:lineRule="auto"/>
        <w:rPr>
          <w:rFonts w:ascii="Century Gothic" w:hAnsi="Century Gothic"/>
          <w:b/>
          <w:bCs/>
          <w:sz w:val="22"/>
          <w:szCs w:val="22"/>
        </w:rPr>
      </w:pPr>
      <w:r>
        <w:rPr>
          <w:rFonts w:ascii="Century Gothic" w:hAnsi="Century Gothic"/>
          <w:b/>
          <w:bCs/>
          <w:sz w:val="22"/>
          <w:szCs w:val="22"/>
        </w:rPr>
        <w:lastRenderedPageBreak/>
        <w:t>Tisztelt Képviselő-testület!</w:t>
      </w:r>
    </w:p>
    <w:p w:rsidR="00390FC6" w:rsidRPr="005C18F4" w:rsidRDefault="00E65A90" w:rsidP="005F7511">
      <w:pPr>
        <w:pStyle w:val="Szvegtrzs"/>
        <w:spacing w:before="240" w:after="0" w:line="240" w:lineRule="auto"/>
        <w:jc w:val="both"/>
        <w:rPr>
          <w:rFonts w:ascii="Century Gothic" w:hAnsi="Century Gothic"/>
          <w:bCs/>
          <w:sz w:val="22"/>
          <w:szCs w:val="22"/>
        </w:rPr>
      </w:pPr>
      <w:r w:rsidRPr="005C18F4">
        <w:rPr>
          <w:rFonts w:ascii="Century Gothic" w:hAnsi="Century Gothic"/>
          <w:bCs/>
          <w:sz w:val="22"/>
          <w:szCs w:val="22"/>
        </w:rPr>
        <w:t>A nem közművel összegyűjtött háztartási szennyvíz begyűjtésére vonatkozó helyi közszolgáltatásról szóló 26/2013.(XII.20.) önkormányzati rendeletünket a13/2021.(XI.2.) önkormányzati rendelettel módosítottuk, mellyel a szolgáltatási díj</w:t>
      </w:r>
      <w:r w:rsidR="00390FC6" w:rsidRPr="005C18F4">
        <w:rPr>
          <w:rFonts w:ascii="Century Gothic" w:hAnsi="Century Gothic"/>
          <w:bCs/>
          <w:sz w:val="22"/>
          <w:szCs w:val="22"/>
        </w:rPr>
        <w:t>at</w:t>
      </w:r>
      <w:r w:rsidRPr="005C18F4">
        <w:rPr>
          <w:rFonts w:ascii="Century Gothic" w:hAnsi="Century Gothic"/>
          <w:bCs/>
          <w:sz w:val="22"/>
          <w:szCs w:val="22"/>
        </w:rPr>
        <w:t xml:space="preserve"> 2022. jan</w:t>
      </w:r>
      <w:r w:rsidR="00390FC6" w:rsidRPr="005C18F4">
        <w:rPr>
          <w:rFonts w:ascii="Century Gothic" w:hAnsi="Century Gothic"/>
          <w:bCs/>
          <w:sz w:val="22"/>
          <w:szCs w:val="22"/>
        </w:rPr>
        <w:t>uár 1. napjával megemeltük.</w:t>
      </w:r>
    </w:p>
    <w:p w:rsidR="00390FC6" w:rsidRPr="005C18F4" w:rsidRDefault="00390FC6" w:rsidP="005F7511">
      <w:pPr>
        <w:pStyle w:val="Szvegtrzs"/>
        <w:spacing w:before="240" w:after="0" w:line="240" w:lineRule="auto"/>
        <w:jc w:val="both"/>
        <w:rPr>
          <w:rFonts w:ascii="Century Gothic" w:hAnsi="Century Gothic"/>
          <w:bCs/>
          <w:sz w:val="22"/>
          <w:szCs w:val="22"/>
        </w:rPr>
      </w:pPr>
      <w:r w:rsidRPr="005C18F4">
        <w:rPr>
          <w:rFonts w:ascii="Century Gothic" w:hAnsi="Century Gothic"/>
          <w:sz w:val="22"/>
          <w:szCs w:val="22"/>
        </w:rPr>
        <w:t>A veszélyhelyzettel összefüggő átmeneti szabályokról szóló 2021. évi XCIX. törvény hatálybalépéséről szóló 2021. évi CXV. törvény 2021. december 1-jén hatályba lépő rendelkezései szerint a 2021. évi XCIX. törvény 147.§ (1)- (2) bekezdése a következők szerint változik:</w:t>
      </w:r>
    </w:p>
    <w:p w:rsidR="00390FC6" w:rsidRPr="005C18F4" w:rsidRDefault="00390FC6" w:rsidP="005F7511">
      <w:pPr>
        <w:pStyle w:val="Szvegtrzs"/>
        <w:spacing w:before="240" w:after="0" w:line="240" w:lineRule="auto"/>
        <w:jc w:val="both"/>
        <w:rPr>
          <w:rFonts w:ascii="Century Gothic" w:hAnsi="Century Gothic"/>
          <w:bCs/>
          <w:sz w:val="22"/>
          <w:szCs w:val="22"/>
        </w:rPr>
      </w:pPr>
      <w:r w:rsidRPr="005C18F4">
        <w:rPr>
          <w:rFonts w:ascii="Century Gothic" w:hAnsi="Century Gothic"/>
          <w:sz w:val="22"/>
          <w:szCs w:val="22"/>
        </w:rPr>
        <w:t xml:space="preserve">A koronavírus-világjárvány nemzetgazdaságot érintő hatásának enyhítése érdekében szükséges gazdasági intézkedésről szóló 603/2020.(XII.18.) Kormányrendelet hatálybalépésének napjától </w:t>
      </w:r>
      <w:r w:rsidRPr="005C18F4">
        <w:rPr>
          <w:rFonts w:ascii="Century Gothic" w:hAnsi="Century Gothic"/>
          <w:b/>
          <w:bCs/>
          <w:sz w:val="22"/>
          <w:szCs w:val="22"/>
        </w:rPr>
        <w:t xml:space="preserve">2020. december 19. napjától  2022. június 30. napjáig </w:t>
      </w:r>
    </w:p>
    <w:p w:rsidR="00390FC6" w:rsidRPr="005C18F4" w:rsidRDefault="00390FC6" w:rsidP="00390FC6">
      <w:pPr>
        <w:numPr>
          <w:ilvl w:val="0"/>
          <w:numId w:val="2"/>
        </w:numPr>
        <w:tabs>
          <w:tab w:val="clear" w:pos="708"/>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w:t>
      </w:r>
    </w:p>
    <w:p w:rsidR="00390FC6" w:rsidRPr="005C18F4" w:rsidRDefault="00390FC6" w:rsidP="00390FC6">
      <w:pPr>
        <w:numPr>
          <w:ilvl w:val="0"/>
          <w:numId w:val="2"/>
        </w:numPr>
        <w:tabs>
          <w:tab w:val="clear" w:pos="708"/>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 által fenntartott</w:t>
      </w:r>
    </w:p>
    <w:p w:rsidR="00390FC6" w:rsidRPr="005C18F4" w:rsidRDefault="00390FC6" w:rsidP="005F7511">
      <w:pPr>
        <w:pStyle w:val="Szvegtrzs"/>
        <w:spacing w:after="0" w:line="240" w:lineRule="auto"/>
        <w:ind w:left="720"/>
        <w:jc w:val="both"/>
        <w:rPr>
          <w:rFonts w:ascii="Century Gothic" w:hAnsi="Century Gothic"/>
          <w:sz w:val="22"/>
          <w:szCs w:val="22"/>
        </w:rPr>
      </w:pPr>
      <w:r w:rsidRPr="005C18F4">
        <w:rPr>
          <w:rFonts w:ascii="Century Gothic" w:hAnsi="Century Gothic"/>
          <w:sz w:val="22"/>
          <w:szCs w:val="22"/>
        </w:rPr>
        <w:t>ba) költségvetési szerv,</w:t>
      </w:r>
    </w:p>
    <w:p w:rsidR="00390FC6" w:rsidRPr="005C18F4" w:rsidRDefault="00390FC6" w:rsidP="005F7511">
      <w:pPr>
        <w:pStyle w:val="Szvegtrzs"/>
        <w:spacing w:after="0" w:line="240" w:lineRule="auto"/>
        <w:ind w:left="720"/>
        <w:jc w:val="both"/>
        <w:rPr>
          <w:rFonts w:ascii="Century Gothic" w:hAnsi="Century Gothic"/>
          <w:sz w:val="22"/>
          <w:szCs w:val="22"/>
        </w:rPr>
      </w:pPr>
      <w:r w:rsidRPr="005C18F4">
        <w:rPr>
          <w:rFonts w:ascii="Century Gothic" w:hAnsi="Century Gothic"/>
          <w:sz w:val="22"/>
          <w:szCs w:val="22"/>
        </w:rPr>
        <w:t>bb) nonprofit szervezet,</w:t>
      </w:r>
    </w:p>
    <w:p w:rsidR="00390FC6" w:rsidRPr="005C18F4" w:rsidRDefault="00390FC6" w:rsidP="005F7511">
      <w:pPr>
        <w:pStyle w:val="Szvegtrzs"/>
        <w:spacing w:after="0" w:line="240" w:lineRule="auto"/>
        <w:ind w:left="720"/>
        <w:jc w:val="both"/>
        <w:rPr>
          <w:rFonts w:ascii="Century Gothic" w:hAnsi="Century Gothic"/>
          <w:sz w:val="22"/>
          <w:szCs w:val="22"/>
        </w:rPr>
      </w:pPr>
      <w:r w:rsidRPr="005C18F4">
        <w:rPr>
          <w:rFonts w:ascii="Century Gothic" w:hAnsi="Century Gothic"/>
          <w:sz w:val="22"/>
          <w:szCs w:val="22"/>
        </w:rPr>
        <w:t>bc) egyéb szervezet,</w:t>
      </w:r>
    </w:p>
    <w:p w:rsidR="00390FC6" w:rsidRPr="005F7511" w:rsidRDefault="00390FC6" w:rsidP="005F7511">
      <w:pPr>
        <w:pStyle w:val="Listaszerbekezds"/>
        <w:numPr>
          <w:ilvl w:val="0"/>
          <w:numId w:val="2"/>
        </w:numPr>
        <w:tabs>
          <w:tab w:val="left" w:pos="867"/>
        </w:tabs>
        <w:spacing w:before="159"/>
        <w:ind w:right="159"/>
        <w:jc w:val="both"/>
        <w:rPr>
          <w:rFonts w:ascii="Century Gothic" w:hAnsi="Century Gothic"/>
          <w:sz w:val="22"/>
          <w:szCs w:val="22"/>
        </w:rPr>
      </w:pPr>
      <w:r w:rsidRPr="005F7511">
        <w:rPr>
          <w:rFonts w:ascii="Century Gothic" w:hAnsi="Century Gothic"/>
          <w:sz w:val="22"/>
          <w:szCs w:val="22"/>
        </w:rPr>
        <w:t>a helyi önkormányzat többségi tulajdoni részesedésével működő gazdasági társaság,</w:t>
      </w:r>
    </w:p>
    <w:p w:rsidR="00390FC6" w:rsidRPr="005C18F4" w:rsidRDefault="00390FC6" w:rsidP="005F7511">
      <w:pPr>
        <w:numPr>
          <w:ilvl w:val="0"/>
          <w:numId w:val="2"/>
        </w:numPr>
        <w:tabs>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 többségi tulajdoni részesedésével működő gazdasági társaság által alapított gazdasági társaság,</w:t>
      </w:r>
    </w:p>
    <w:p w:rsidR="00390FC6" w:rsidRPr="005C18F4" w:rsidRDefault="00390FC6" w:rsidP="005F7511">
      <w:pPr>
        <w:numPr>
          <w:ilvl w:val="0"/>
          <w:numId w:val="2"/>
        </w:numPr>
        <w:tabs>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képviselő-testület feladatkörébe tartozó közszolgáltatás ellátására a szerződéssel rendelkező, a polgári perrendtartásról szóló törvény szerinti gazdálkodó szervezet által nyújtott szolgáltatásért, végzett tevékenységéért megállapított díj, az önkormányzati vagyonnal való gazdálkodás keretében felmerülő díj, illetve egyéb díjfizetési kötelezettség mértéke nem lehet magasabb, mint az ugyanazon díjnak a 2020. december 18. napján hatályos és alkalmazandó mértéke.</w:t>
      </w:r>
    </w:p>
    <w:p w:rsidR="00390FC6" w:rsidRPr="005C18F4" w:rsidRDefault="00390FC6" w:rsidP="005F7511">
      <w:pPr>
        <w:pStyle w:val="Szvegtrzs"/>
        <w:spacing w:after="0" w:line="240" w:lineRule="auto"/>
        <w:jc w:val="both"/>
        <w:rPr>
          <w:rFonts w:ascii="Century Gothic" w:hAnsi="Century Gothic"/>
          <w:sz w:val="22"/>
          <w:szCs w:val="22"/>
        </w:rPr>
      </w:pPr>
      <w:r w:rsidRPr="005C18F4">
        <w:rPr>
          <w:rFonts w:ascii="Century Gothic" w:hAnsi="Century Gothic"/>
          <w:sz w:val="22"/>
          <w:szCs w:val="22"/>
        </w:rPr>
        <w:t>2020. december 19. napjától új díjat nem lehet bevezetni, 2022.június 30. napjáig új díjat nem lehet megállapítani, meglévő díjat új kötelezetti körre nem lehet kiterjeszteni. A megállapított díj csökkentésére azonban van lehetőség.</w:t>
      </w:r>
    </w:p>
    <w:p w:rsidR="00390FC6" w:rsidRPr="005F7511" w:rsidRDefault="00390FC6" w:rsidP="005F7511">
      <w:pPr>
        <w:pStyle w:val="Szvegtrzs"/>
        <w:spacing w:after="0" w:line="240" w:lineRule="auto"/>
        <w:jc w:val="both"/>
        <w:rPr>
          <w:rFonts w:ascii="Century Gothic" w:hAnsi="Century Gothic"/>
          <w:b/>
          <w:sz w:val="22"/>
          <w:szCs w:val="22"/>
        </w:rPr>
      </w:pPr>
      <w:r w:rsidRPr="005C18F4">
        <w:rPr>
          <w:rFonts w:ascii="Century Gothic" w:hAnsi="Century Gothic"/>
          <w:sz w:val="22"/>
          <w:szCs w:val="22"/>
        </w:rPr>
        <w:t>A fentiekre tekintettel</w:t>
      </w:r>
      <w:r w:rsidR="00F738A2" w:rsidRPr="005C18F4">
        <w:rPr>
          <w:rFonts w:ascii="Century Gothic" w:hAnsi="Century Gothic"/>
          <w:sz w:val="22"/>
          <w:szCs w:val="22"/>
        </w:rPr>
        <w:t xml:space="preserve"> –a törvényesség biztosítása céljából-</w:t>
      </w:r>
      <w:r w:rsidRPr="005C18F4">
        <w:rPr>
          <w:rFonts w:ascii="Century Gothic" w:hAnsi="Century Gothic"/>
          <w:sz w:val="22"/>
          <w:szCs w:val="22"/>
        </w:rPr>
        <w:t xml:space="preserve"> </w:t>
      </w:r>
      <w:r w:rsidR="00F738A2" w:rsidRPr="005C18F4">
        <w:rPr>
          <w:rFonts w:ascii="Century Gothic" w:hAnsi="Century Gothic"/>
          <w:sz w:val="22"/>
          <w:szCs w:val="22"/>
        </w:rPr>
        <w:t xml:space="preserve">a T. Képviselő-testületnek </w:t>
      </w:r>
      <w:r w:rsidR="007C64FE">
        <w:rPr>
          <w:rFonts w:ascii="Century Gothic" w:hAnsi="Century Gothic"/>
          <w:sz w:val="22"/>
          <w:szCs w:val="22"/>
        </w:rPr>
        <w:t xml:space="preserve">2022. január 1-jei hatálybalépéssel </w:t>
      </w:r>
      <w:r w:rsidR="00F738A2" w:rsidRPr="005C18F4">
        <w:rPr>
          <w:rFonts w:ascii="Century Gothic" w:hAnsi="Century Gothic"/>
          <w:sz w:val="22"/>
          <w:szCs w:val="22"/>
        </w:rPr>
        <w:t xml:space="preserve">rendeletet kell alkotnia arról, hogy </w:t>
      </w:r>
      <w:r w:rsidR="00F738A2" w:rsidRPr="005F7511">
        <w:rPr>
          <w:rFonts w:ascii="Century Gothic" w:hAnsi="Century Gothic"/>
          <w:b/>
          <w:sz w:val="22"/>
          <w:szCs w:val="22"/>
        </w:rPr>
        <w:t>a módosító rendelet 2022. január 1. napjától nem lép hatályba.</w:t>
      </w:r>
    </w:p>
    <w:p w:rsidR="005C18F4" w:rsidRPr="005C18F4" w:rsidRDefault="005C18F4" w:rsidP="004D7A4C">
      <w:pPr>
        <w:jc w:val="center"/>
        <w:rPr>
          <w:rFonts w:ascii="Century Gothic" w:hAnsi="Century Gothic"/>
          <w:b/>
          <w:color w:val="231F20"/>
          <w:spacing w:val="-2"/>
          <w:sz w:val="22"/>
          <w:szCs w:val="22"/>
        </w:rPr>
      </w:pPr>
    </w:p>
    <w:p w:rsidR="004D7A4C" w:rsidRPr="005C18F4" w:rsidRDefault="004D7A4C" w:rsidP="004D7A4C">
      <w:pPr>
        <w:jc w:val="center"/>
        <w:rPr>
          <w:rFonts w:ascii="Century Gothic" w:hAnsi="Century Gothic"/>
          <w:b/>
          <w:color w:val="231F20"/>
          <w:spacing w:val="-2"/>
          <w:sz w:val="22"/>
          <w:szCs w:val="22"/>
        </w:rPr>
      </w:pPr>
      <w:r w:rsidRPr="005C18F4">
        <w:rPr>
          <w:rFonts w:ascii="Century Gothic" w:hAnsi="Century Gothic"/>
          <w:b/>
          <w:color w:val="231F20"/>
          <w:spacing w:val="-2"/>
          <w:sz w:val="22"/>
          <w:szCs w:val="22"/>
        </w:rPr>
        <w:t>Előzetes hatásvizsgálati lap</w:t>
      </w:r>
    </w:p>
    <w:p w:rsidR="005C18F4" w:rsidRPr="005C18F4" w:rsidRDefault="005C18F4" w:rsidP="005C18F4">
      <w:pPr>
        <w:pStyle w:val="Szvegtrzs"/>
        <w:spacing w:before="240" w:after="480" w:line="240" w:lineRule="auto"/>
        <w:jc w:val="center"/>
        <w:rPr>
          <w:rFonts w:ascii="Century Gothic" w:hAnsi="Century Gothic"/>
          <w:b/>
          <w:bCs/>
          <w:sz w:val="22"/>
          <w:szCs w:val="22"/>
        </w:rPr>
      </w:pPr>
      <w:r w:rsidRPr="005C18F4">
        <w:rPr>
          <w:rFonts w:ascii="Century Gothic" w:hAnsi="Century Gothic"/>
          <w:b/>
          <w:bCs/>
          <w:sz w:val="22"/>
          <w:szCs w:val="22"/>
        </w:rPr>
        <w:t>a nem közművel összegyűjtött háztartási szennyvíz begyűjtésére vonatkozó helyi közszolgáltatásról szóló 26/2013.(XII.20.) önkormányzati rendelet módosításáról szóló 13/2021.(XI.2.) önkormányzati rendelet hatályba nem lépéséről</w:t>
      </w:r>
    </w:p>
    <w:p w:rsidR="004D7A4C" w:rsidRPr="005C18F4" w:rsidRDefault="004D7A4C" w:rsidP="004D7A4C">
      <w:pPr>
        <w:jc w:val="center"/>
        <w:rPr>
          <w:rFonts w:ascii="Century Gothic" w:hAnsi="Century Gothic"/>
          <w:b/>
          <w:color w:val="231F20"/>
          <w:spacing w:val="-2"/>
          <w:sz w:val="22"/>
          <w:szCs w:val="22"/>
        </w:rPr>
      </w:pPr>
      <w:r w:rsidRPr="005C18F4">
        <w:rPr>
          <w:rFonts w:ascii="Century Gothic" w:hAnsi="Century Gothic"/>
          <w:b/>
          <w:color w:val="231F20"/>
          <w:spacing w:val="-2"/>
          <w:sz w:val="22"/>
          <w:szCs w:val="22"/>
        </w:rPr>
        <w:t xml:space="preserve"> </w:t>
      </w:r>
    </w:p>
    <w:p w:rsidR="004D7A4C" w:rsidRPr="005C18F4" w:rsidRDefault="004D7A4C" w:rsidP="004D7A4C">
      <w:pPr>
        <w:jc w:val="both"/>
        <w:rPr>
          <w:rFonts w:ascii="Century Gothic" w:hAnsi="Century Gothic"/>
          <w:color w:val="231F20"/>
          <w:spacing w:val="-2"/>
          <w:sz w:val="22"/>
          <w:szCs w:val="22"/>
        </w:rPr>
      </w:pPr>
      <w:r w:rsidRPr="005C18F4">
        <w:rPr>
          <w:rFonts w:ascii="Century Gothic" w:hAnsi="Century Gothic"/>
          <w:color w:val="231F20"/>
          <w:spacing w:val="-2"/>
          <w:sz w:val="22"/>
          <w:szCs w:val="22"/>
        </w:rPr>
        <w:t xml:space="preserve"> (a jogalkotásról szóló 2010. évi CXXX. törvény 17.§-a alapján)</w:t>
      </w:r>
    </w:p>
    <w:p w:rsidR="004D7A4C" w:rsidRPr="005C18F4" w:rsidRDefault="004D7A4C" w:rsidP="004D7A4C">
      <w:pPr>
        <w:jc w:val="both"/>
        <w:rPr>
          <w:rFonts w:ascii="Century Gothic" w:hAnsi="Century Gothic"/>
          <w:color w:val="231F20"/>
          <w:spacing w:val="-2"/>
          <w:sz w:val="22"/>
          <w:szCs w:val="22"/>
        </w:rPr>
      </w:pPr>
    </w:p>
    <w:p w:rsidR="004D7A4C" w:rsidRPr="005C18F4" w:rsidRDefault="004D7A4C" w:rsidP="004D7A4C">
      <w:pPr>
        <w:jc w:val="both"/>
        <w:rPr>
          <w:rFonts w:ascii="Century Gothic" w:hAnsi="Century Gothic"/>
          <w:color w:val="231F20"/>
          <w:spacing w:val="-2"/>
          <w:sz w:val="22"/>
          <w:szCs w:val="22"/>
        </w:rPr>
      </w:pPr>
      <w:r w:rsidRPr="005C18F4">
        <w:rPr>
          <w:rFonts w:ascii="Century Gothic" w:hAnsi="Century Gothic"/>
          <w:color w:val="231F20"/>
          <w:spacing w:val="-2"/>
          <w:sz w:val="22"/>
          <w:szCs w:val="22"/>
        </w:rPr>
        <w:lastRenderedPageBreak/>
        <w:t>A tervezett jogszabály várható következményei, különösen</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társadalmi hatás</w:t>
      </w:r>
      <w:r w:rsidRPr="005C18F4">
        <w:rPr>
          <w:rFonts w:ascii="Century Gothic" w:hAnsi="Century Gothic"/>
          <w:color w:val="231F20"/>
          <w:spacing w:val="-2"/>
          <w:sz w:val="22"/>
          <w:szCs w:val="22"/>
        </w:rPr>
        <w:t>: A rendeletnek közvetlen társadalmi hatása nincs</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gazdasági hatása</w:t>
      </w:r>
      <w:r w:rsidRPr="005C18F4">
        <w:rPr>
          <w:rFonts w:ascii="Century Gothic" w:hAnsi="Century Gothic"/>
          <w:color w:val="231F20"/>
          <w:spacing w:val="-2"/>
          <w:sz w:val="22"/>
          <w:szCs w:val="22"/>
        </w:rPr>
        <w:t>: Gazdasági, költségvetési hatásai nem mérhetők.</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költségvetési hatásai</w:t>
      </w:r>
      <w:r w:rsidRPr="005C18F4">
        <w:rPr>
          <w:rFonts w:ascii="Century Gothic" w:hAnsi="Century Gothic"/>
          <w:color w:val="231F20"/>
          <w:spacing w:val="-2"/>
          <w:sz w:val="22"/>
          <w:szCs w:val="22"/>
        </w:rPr>
        <w:t xml:space="preserve">: a tervezetnek </w:t>
      </w:r>
      <w:r w:rsidR="005C18F4" w:rsidRPr="005C18F4">
        <w:rPr>
          <w:rFonts w:ascii="Century Gothic" w:hAnsi="Century Gothic"/>
          <w:color w:val="231F20"/>
          <w:spacing w:val="-2"/>
          <w:sz w:val="22"/>
          <w:szCs w:val="22"/>
        </w:rPr>
        <w:t xml:space="preserve">várhatóan </w:t>
      </w:r>
      <w:r w:rsidRPr="005C18F4">
        <w:rPr>
          <w:rFonts w:ascii="Century Gothic" w:hAnsi="Century Gothic"/>
          <w:color w:val="231F20"/>
          <w:spacing w:val="-2"/>
          <w:sz w:val="22"/>
          <w:szCs w:val="22"/>
        </w:rPr>
        <w:t>költségvet</w:t>
      </w:r>
      <w:r w:rsidR="005C18F4" w:rsidRPr="005C18F4">
        <w:rPr>
          <w:rFonts w:ascii="Century Gothic" w:hAnsi="Century Gothic"/>
          <w:color w:val="231F20"/>
          <w:spacing w:val="-2"/>
          <w:sz w:val="22"/>
          <w:szCs w:val="22"/>
        </w:rPr>
        <w:t>ési hatása nincs</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környezeti következményei:</w:t>
      </w:r>
      <w:r w:rsidRPr="005C18F4">
        <w:rPr>
          <w:rFonts w:ascii="Century Gothic" w:hAnsi="Century Gothic"/>
          <w:color w:val="231F20"/>
          <w:spacing w:val="-2"/>
          <w:sz w:val="22"/>
          <w:szCs w:val="22"/>
        </w:rPr>
        <w:t xml:space="preserve"> a talajterhelés, szennyezés csökkenthető</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egészségi következményei</w:t>
      </w:r>
      <w:r w:rsidRPr="005C18F4">
        <w:rPr>
          <w:rFonts w:ascii="Century Gothic" w:hAnsi="Century Gothic"/>
          <w:color w:val="231F20"/>
          <w:spacing w:val="-2"/>
          <w:sz w:val="22"/>
          <w:szCs w:val="22"/>
        </w:rPr>
        <w:t>: a tervezetnek egészségi következménye nincs</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adminisztratív terheket befolyásoló hatásai</w:t>
      </w:r>
      <w:r w:rsidRPr="005C18F4">
        <w:rPr>
          <w:rFonts w:ascii="Century Gothic" w:hAnsi="Century Gothic"/>
          <w:color w:val="231F20"/>
          <w:spacing w:val="-2"/>
          <w:sz w:val="22"/>
          <w:szCs w:val="22"/>
        </w:rPr>
        <w:t>: a tervezet a jelenlegi adminisztratív terhet nem emeli</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megalkotásának szükségessége:</w:t>
      </w:r>
      <w:r w:rsidRPr="005C18F4">
        <w:rPr>
          <w:rFonts w:ascii="Century Gothic" w:hAnsi="Century Gothic"/>
          <w:color w:val="231F20"/>
          <w:spacing w:val="-2"/>
          <w:sz w:val="22"/>
          <w:szCs w:val="22"/>
        </w:rPr>
        <w:t xml:space="preserve"> a megfelelés a jogszabályi előírásoknak</w:t>
      </w:r>
    </w:p>
    <w:p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alkalmazásához szükséges személyi, szervezeti, tárgyi és pénzügyi feltételek:</w:t>
      </w:r>
      <w:r w:rsidRPr="005C18F4">
        <w:rPr>
          <w:rFonts w:ascii="Century Gothic" w:hAnsi="Century Gothic"/>
          <w:color w:val="231F20"/>
          <w:spacing w:val="-2"/>
          <w:sz w:val="22"/>
          <w:szCs w:val="22"/>
        </w:rPr>
        <w:t xml:space="preserve"> a jelenlegi feltételeken felül többletet nem igényel.</w:t>
      </w:r>
    </w:p>
    <w:p w:rsidR="004D7A4C" w:rsidRPr="005C18F4" w:rsidRDefault="004D7A4C" w:rsidP="004D7A4C">
      <w:pPr>
        <w:jc w:val="both"/>
        <w:rPr>
          <w:rFonts w:ascii="Century Gothic" w:hAnsi="Century Gothic"/>
          <w:sz w:val="22"/>
          <w:szCs w:val="22"/>
        </w:rPr>
      </w:pPr>
      <w:r w:rsidRPr="005C18F4">
        <w:rPr>
          <w:rFonts w:ascii="Century Gothic" w:hAnsi="Century Gothic"/>
          <w:color w:val="231F20"/>
          <w:spacing w:val="-2"/>
          <w:sz w:val="22"/>
          <w:szCs w:val="22"/>
        </w:rPr>
        <w:t>A rendelet-tervezet vonatkozásában az Európai Unió intézményeivel és tagállamaival egyeztetési kötelezettség nem áll fenn, nem tartozik az előzetes bejelentési kötelezettség alá tartozó jogszabály tervezetek közé.</w:t>
      </w:r>
    </w:p>
    <w:p w:rsidR="004D7A4C" w:rsidRPr="005C18F4" w:rsidRDefault="004D7A4C" w:rsidP="00390FC6">
      <w:pPr>
        <w:pStyle w:val="Szvegtrzs"/>
        <w:spacing w:after="160" w:line="240" w:lineRule="auto"/>
        <w:jc w:val="both"/>
        <w:rPr>
          <w:rFonts w:ascii="Century Gothic" w:hAnsi="Century Gothic"/>
          <w:sz w:val="22"/>
          <w:szCs w:val="22"/>
        </w:rPr>
      </w:pPr>
    </w:p>
    <w:p w:rsidR="00F738A2" w:rsidRPr="005C18F4" w:rsidRDefault="00F738A2" w:rsidP="00390FC6">
      <w:pPr>
        <w:pStyle w:val="Szvegtrzs"/>
        <w:spacing w:after="160" w:line="240" w:lineRule="auto"/>
        <w:jc w:val="both"/>
        <w:rPr>
          <w:rFonts w:ascii="Century Gothic" w:hAnsi="Century Gothic"/>
          <w:sz w:val="22"/>
          <w:szCs w:val="22"/>
        </w:rPr>
      </w:pPr>
      <w:r w:rsidRPr="005C18F4">
        <w:rPr>
          <w:rFonts w:ascii="Century Gothic" w:hAnsi="Century Gothic"/>
          <w:sz w:val="22"/>
          <w:szCs w:val="22"/>
        </w:rPr>
        <w:t>Balatonberény, 2021. november 24.</w:t>
      </w:r>
    </w:p>
    <w:p w:rsidR="00F738A2" w:rsidRPr="005C18F4" w:rsidRDefault="00F738A2" w:rsidP="007C64FE">
      <w:pPr>
        <w:pStyle w:val="Szvegtrzs"/>
        <w:spacing w:after="0" w:line="240" w:lineRule="auto"/>
        <w:jc w:val="right"/>
        <w:rPr>
          <w:rFonts w:ascii="Century Gothic" w:hAnsi="Century Gothic"/>
          <w:sz w:val="22"/>
          <w:szCs w:val="22"/>
        </w:rPr>
      </w:pPr>
      <w:r w:rsidRPr="005C18F4">
        <w:rPr>
          <w:rFonts w:ascii="Century Gothic" w:hAnsi="Century Gothic"/>
          <w:sz w:val="22"/>
          <w:szCs w:val="22"/>
        </w:rPr>
        <w:t>Mestyán Valéria</w:t>
      </w:r>
    </w:p>
    <w:p w:rsidR="00F738A2" w:rsidRPr="005C18F4" w:rsidRDefault="00F738A2" w:rsidP="007C64FE">
      <w:pPr>
        <w:pStyle w:val="Szvegtrzs"/>
        <w:spacing w:after="0" w:line="240" w:lineRule="auto"/>
        <w:jc w:val="right"/>
        <w:rPr>
          <w:rFonts w:ascii="Century Gothic" w:hAnsi="Century Gothic"/>
          <w:sz w:val="22"/>
          <w:szCs w:val="22"/>
        </w:rPr>
      </w:pPr>
      <w:r w:rsidRPr="005C18F4">
        <w:rPr>
          <w:rFonts w:ascii="Century Gothic" w:hAnsi="Century Gothic"/>
          <w:sz w:val="22"/>
          <w:szCs w:val="22"/>
        </w:rPr>
        <w:t>címzetes főjegyző</w:t>
      </w:r>
    </w:p>
    <w:p w:rsidR="00E65A90" w:rsidRPr="00E65A90" w:rsidRDefault="00E65A90" w:rsidP="007C64FE">
      <w:pPr>
        <w:pStyle w:val="Szvegtrzs"/>
        <w:spacing w:before="240" w:after="0" w:line="240" w:lineRule="auto"/>
        <w:rPr>
          <w:rFonts w:ascii="Century Gothic" w:hAnsi="Century Gothic"/>
          <w:b/>
          <w:bCs/>
          <w:sz w:val="22"/>
          <w:szCs w:val="22"/>
        </w:rPr>
      </w:pPr>
    </w:p>
    <w:p w:rsidR="00E71ED4" w:rsidRDefault="009C3A3E">
      <w:pPr>
        <w:pStyle w:val="Szvegtrzs"/>
        <w:spacing w:before="240" w:after="480" w:line="240" w:lineRule="auto"/>
        <w:jc w:val="center"/>
        <w:rPr>
          <w:b/>
          <w:bCs/>
        </w:rPr>
      </w:pPr>
      <w:r>
        <w:rPr>
          <w:b/>
          <w:bCs/>
        </w:rPr>
        <w:t>Balatonberény Község Önkormányzata Képviselő-testületének .../.... (...) önkormányzati rendelete</w:t>
      </w:r>
    </w:p>
    <w:p w:rsidR="00E71ED4" w:rsidRDefault="009C3A3E">
      <w:pPr>
        <w:pStyle w:val="Szvegtrzs"/>
        <w:spacing w:before="240" w:after="480" w:line="240" w:lineRule="auto"/>
        <w:jc w:val="center"/>
        <w:rPr>
          <w:b/>
          <w:bCs/>
        </w:rPr>
      </w:pPr>
      <w:r>
        <w:rPr>
          <w:b/>
          <w:bCs/>
        </w:rPr>
        <w:t>a nem közművel összegyűjtött háztartási szennyvíz begyűjtésére vonatkozó helyi közszolgáltatásról szóló 26/2013.(XII.20.) önkormányzati rendelet módosításáról szóló 13/2021.(XI.2.) önkormányzati rendelet hatályba nem lépéséről</w:t>
      </w:r>
    </w:p>
    <w:p w:rsidR="00E71ED4" w:rsidRDefault="009C3A3E">
      <w:pPr>
        <w:pStyle w:val="Szvegtrzs"/>
        <w:spacing w:before="220" w:after="0" w:line="240" w:lineRule="auto"/>
        <w:jc w:val="both"/>
      </w:pPr>
      <w:r>
        <w:t>Balatonberény Község Önkormányzatának Képviselő-testülete a Magyarország Alaptörvényének 32. cikk (1) a) pontja és 32. cikk (2) bekezdése szerint kapott felhatalmazás alapján, a vízgazdálkodásról szóló 1995. évi LVII. törvény 44/C. § (2) bekezdésében meghatározott feladatkörében eljárva a következőket rendeli el:</w:t>
      </w:r>
    </w:p>
    <w:p w:rsidR="00E71ED4" w:rsidRDefault="009C3A3E">
      <w:pPr>
        <w:pStyle w:val="Szvegtrzs"/>
        <w:spacing w:before="240" w:after="240" w:line="240" w:lineRule="auto"/>
        <w:jc w:val="center"/>
        <w:rPr>
          <w:b/>
          <w:bCs/>
        </w:rPr>
      </w:pPr>
      <w:r>
        <w:rPr>
          <w:b/>
          <w:bCs/>
        </w:rPr>
        <w:t>1. §</w:t>
      </w:r>
    </w:p>
    <w:p w:rsidR="00E71ED4" w:rsidRDefault="009C3A3E">
      <w:pPr>
        <w:pStyle w:val="Szvegtrzs"/>
        <w:spacing w:after="0" w:line="240" w:lineRule="auto"/>
        <w:jc w:val="both"/>
      </w:pPr>
      <w:r>
        <w:t>Nem lép hatályba a nem közművel összegyűjtött háztartási szennyvíz begyűjtésére vonatkozó helyi közszolgáltatásról szóló 26/2013.(XII.20.) önkormányzati rendelet módosításáról szóló 13/2021. (XI. 2.) önkormányzati rendelet.</w:t>
      </w:r>
    </w:p>
    <w:p w:rsidR="00E71ED4" w:rsidRDefault="009C3A3E">
      <w:pPr>
        <w:pStyle w:val="Szvegtrzs"/>
        <w:spacing w:before="240" w:after="240" w:line="240" w:lineRule="auto"/>
        <w:jc w:val="center"/>
        <w:rPr>
          <w:b/>
          <w:bCs/>
        </w:rPr>
      </w:pPr>
      <w:r>
        <w:rPr>
          <w:b/>
          <w:bCs/>
        </w:rPr>
        <w:t>2. §</w:t>
      </w:r>
    </w:p>
    <w:p w:rsidR="00E71ED4" w:rsidRDefault="009C3A3E" w:rsidP="004E49BB">
      <w:pPr>
        <w:pStyle w:val="Szvegtrzs"/>
        <w:spacing w:after="0" w:line="240" w:lineRule="auto"/>
      </w:pPr>
      <w:r>
        <w:t>Ez a rendelet 2022. január 1-jén lép hatályba.</w:t>
      </w: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r>
        <w:t>Horváth László                                                                        Mestyán Valéria</w:t>
      </w:r>
    </w:p>
    <w:p w:rsidR="004E49BB" w:rsidRDefault="004E49BB" w:rsidP="004E49BB">
      <w:pPr>
        <w:pStyle w:val="Szvegtrzs"/>
        <w:spacing w:after="0" w:line="240" w:lineRule="auto"/>
      </w:pPr>
    </w:p>
    <w:p w:rsidR="004E49BB" w:rsidRDefault="004E49BB" w:rsidP="004E49BB">
      <w:pPr>
        <w:pStyle w:val="Szvegtrzs"/>
        <w:spacing w:after="0" w:line="240" w:lineRule="auto"/>
      </w:pPr>
      <w:r>
        <w:t>polgármester                                                                            címzetes főjegyző</w:t>
      </w: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r>
        <w:t>Kihirdetve: 2021. november……..</w:t>
      </w: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p>
    <w:p w:rsidR="004E49BB" w:rsidRDefault="004E49BB" w:rsidP="004E49BB">
      <w:pPr>
        <w:pStyle w:val="Szvegtrzs"/>
        <w:spacing w:after="0" w:line="240" w:lineRule="auto"/>
      </w:pPr>
      <w:r>
        <w:t>Mestyán Valéria</w:t>
      </w:r>
    </w:p>
    <w:p w:rsidR="004E49BB" w:rsidRDefault="004E49BB" w:rsidP="004E49BB">
      <w:pPr>
        <w:pStyle w:val="Szvegtrzs"/>
        <w:spacing w:after="0" w:line="240" w:lineRule="auto"/>
        <w:sectPr w:rsidR="004E49BB">
          <w:footerReference w:type="default" r:id="rId8"/>
          <w:pgSz w:w="11906" w:h="16838"/>
          <w:pgMar w:top="1134" w:right="1134" w:bottom="1693" w:left="1134" w:header="0" w:footer="1134" w:gutter="0"/>
          <w:cols w:space="708"/>
          <w:formProt w:val="0"/>
          <w:docGrid w:linePitch="600" w:charSpace="32768"/>
        </w:sectPr>
      </w:pPr>
      <w:r>
        <w:t>címzetes főjegyző</w:t>
      </w:r>
    </w:p>
    <w:p w:rsidR="00E71ED4" w:rsidRDefault="00E71ED4">
      <w:pPr>
        <w:pStyle w:val="Szvegtrzs"/>
        <w:spacing w:after="0"/>
        <w:jc w:val="center"/>
      </w:pPr>
    </w:p>
    <w:p w:rsidR="00E71ED4" w:rsidRDefault="009C3A3E">
      <w:pPr>
        <w:pStyle w:val="Szvegtrzs"/>
        <w:spacing w:after="159" w:line="240" w:lineRule="auto"/>
        <w:ind w:left="159" w:right="159"/>
        <w:jc w:val="center"/>
      </w:pPr>
      <w:r>
        <w:t>Végső előterjesztői indokolás</w:t>
      </w:r>
    </w:p>
    <w:p w:rsidR="00E71ED4" w:rsidRDefault="009C3A3E">
      <w:pPr>
        <w:pStyle w:val="Szvegtrzs"/>
        <w:spacing w:after="160" w:line="240" w:lineRule="auto"/>
        <w:jc w:val="both"/>
      </w:pPr>
      <w:r>
        <w:t>A veszélyhelyzettel összefüggő átmeneti szabályokról szóló 2021. évi XCIX. törvény hatálybalépéséről szóló 2021. évi CXV. törvény 2021. december 1-jén hatályba lépő rendelkezései szerint a 2021. évi XCIX. törvény 147.§ (1)- (2) bekezdése a következők szerint változik:</w:t>
      </w:r>
    </w:p>
    <w:p w:rsidR="00E71ED4" w:rsidRDefault="009C3A3E">
      <w:pPr>
        <w:pStyle w:val="Szvegtrzs"/>
        <w:spacing w:after="160" w:line="240" w:lineRule="auto"/>
        <w:jc w:val="both"/>
      </w:pPr>
      <w:r>
        <w:t xml:space="preserve">A koronavírus-világjárvány nemzetgazdaságot érintő hatásának enyhítése érdekében szükséges gazdasági intézkedésről szóló 603/2020.(XII.18.) Kormányrendelet hatálybalépésének napjától </w:t>
      </w:r>
      <w:r>
        <w:rPr>
          <w:b/>
          <w:bCs/>
        </w:rPr>
        <w:t xml:space="preserve">2020. december 19. napjától  2022. június 30. napjáig </w:t>
      </w:r>
    </w:p>
    <w:p w:rsidR="00E71ED4" w:rsidRDefault="009C3A3E">
      <w:pPr>
        <w:numPr>
          <w:ilvl w:val="0"/>
          <w:numId w:val="2"/>
        </w:numPr>
        <w:tabs>
          <w:tab w:val="clear" w:pos="708"/>
          <w:tab w:val="left" w:pos="867"/>
        </w:tabs>
        <w:spacing w:before="159" w:after="159"/>
        <w:ind w:left="867" w:right="159"/>
        <w:jc w:val="both"/>
      </w:pPr>
      <w:r>
        <w:t>a helyi önkormányzat,</w:t>
      </w:r>
    </w:p>
    <w:p w:rsidR="00E71ED4" w:rsidRDefault="009C3A3E">
      <w:pPr>
        <w:numPr>
          <w:ilvl w:val="0"/>
          <w:numId w:val="2"/>
        </w:numPr>
        <w:tabs>
          <w:tab w:val="clear" w:pos="708"/>
          <w:tab w:val="left" w:pos="867"/>
        </w:tabs>
        <w:spacing w:before="159" w:after="159"/>
        <w:ind w:left="867" w:right="159"/>
        <w:jc w:val="both"/>
      </w:pPr>
      <w:r>
        <w:t>a helyi önkormányzat által fenntartott</w:t>
      </w:r>
    </w:p>
    <w:p w:rsidR="00E71ED4" w:rsidRDefault="009C3A3E">
      <w:pPr>
        <w:pStyle w:val="Szvegtrzs"/>
        <w:spacing w:after="0" w:line="240" w:lineRule="auto"/>
        <w:ind w:left="720"/>
        <w:jc w:val="both"/>
      </w:pPr>
      <w:r>
        <w:t>ba) költségvetési szerv,</w:t>
      </w:r>
    </w:p>
    <w:p w:rsidR="00E71ED4" w:rsidRDefault="009C3A3E">
      <w:pPr>
        <w:pStyle w:val="Szvegtrzs"/>
        <w:spacing w:after="0" w:line="240" w:lineRule="auto"/>
        <w:ind w:left="720"/>
        <w:jc w:val="both"/>
      </w:pPr>
      <w:r>
        <w:t>bb) nonprofit szervezet,</w:t>
      </w:r>
    </w:p>
    <w:p w:rsidR="00E71ED4" w:rsidRDefault="009C3A3E">
      <w:pPr>
        <w:pStyle w:val="Szvegtrzs"/>
        <w:spacing w:after="0" w:line="240" w:lineRule="auto"/>
        <w:ind w:left="720"/>
        <w:jc w:val="both"/>
      </w:pPr>
      <w:r>
        <w:t>bc) egyéb szervezet,</w:t>
      </w:r>
    </w:p>
    <w:p w:rsidR="00E71ED4" w:rsidRDefault="009C3A3E" w:rsidP="005F7511">
      <w:pPr>
        <w:numPr>
          <w:ilvl w:val="0"/>
          <w:numId w:val="2"/>
        </w:numPr>
        <w:tabs>
          <w:tab w:val="left" w:pos="867"/>
        </w:tabs>
        <w:spacing w:before="159" w:after="159"/>
        <w:ind w:left="867" w:right="159"/>
        <w:jc w:val="both"/>
      </w:pPr>
      <w:r>
        <w:t>a helyi önkormányzat többségi tulajdoni részesedésével működő gazdasági társaság,</w:t>
      </w:r>
    </w:p>
    <w:p w:rsidR="00E71ED4" w:rsidRDefault="009C3A3E" w:rsidP="005F7511">
      <w:pPr>
        <w:numPr>
          <w:ilvl w:val="0"/>
          <w:numId w:val="2"/>
        </w:numPr>
        <w:tabs>
          <w:tab w:val="left" w:pos="867"/>
        </w:tabs>
        <w:spacing w:before="159" w:after="159"/>
        <w:ind w:left="867" w:right="159"/>
        <w:jc w:val="both"/>
      </w:pPr>
      <w:r>
        <w:t>a helyi önkormányzat többségi tulajdoni részesedésével működő gazdasági társaság által alapított gazdasági társaság,</w:t>
      </w:r>
    </w:p>
    <w:p w:rsidR="00E71ED4" w:rsidRDefault="009C3A3E" w:rsidP="005F7511">
      <w:pPr>
        <w:numPr>
          <w:ilvl w:val="0"/>
          <w:numId w:val="2"/>
        </w:numPr>
        <w:tabs>
          <w:tab w:val="left" w:pos="867"/>
        </w:tabs>
        <w:spacing w:before="159" w:after="159"/>
        <w:ind w:left="867" w:right="159"/>
        <w:jc w:val="both"/>
      </w:pPr>
      <w:r>
        <w:t>a képviselő-testület feladatkörébe tartozó közszolgáltatás ellátására a szerződéssel rendelkező, a polgári perrendtartásról szóló törvény szerinti gazdálkodó szervezet által nyújtott szolgáltatásért, végzett tevékenységéért megállapított díj, az önkormányzati vagyonnal való gazdálkodás keretében felmerülő díj, illetve egyéb díjfizetési kötelezettség mértéke nem lehet magasabb, mint az ugyanazon díjnak a 2020. december 18. napján hatályos és alkalmazandó mértéke.</w:t>
      </w:r>
    </w:p>
    <w:p w:rsidR="00E71ED4" w:rsidRDefault="009C3A3E">
      <w:pPr>
        <w:pStyle w:val="Szvegtrzs"/>
        <w:spacing w:after="160" w:line="240" w:lineRule="auto"/>
        <w:jc w:val="both"/>
      </w:pPr>
      <w:r>
        <w:t>2020. december 19. napjától új díjat nem lehet bevezetni, 2022.június 30. napjáig új díjat nem lehet megállapítani, meglévő díjat új kötelezetti körre nem lehet kiterjeszteni. A megállapított díj csökkentésére azonban van lehetőség.</w:t>
      </w:r>
    </w:p>
    <w:p w:rsidR="00E71ED4" w:rsidRDefault="009C3A3E">
      <w:pPr>
        <w:pStyle w:val="Szvegtrzs"/>
        <w:spacing w:before="159" w:after="159" w:line="240" w:lineRule="auto"/>
        <w:ind w:left="159" w:right="159"/>
        <w:jc w:val="both"/>
      </w:pPr>
      <w:r>
        <w:t>Balatonberény Község Önkormányzat Képviselő-testülete által  elfogadott és kihirdetett  a nem közművel összegyűjtött háztartási szennyvíz begyűjtésére vonatkozó helyi közszolgáltatásról szóló 26/2013.(XII.20.) önkormányzati rendelet módosításáról szóló 13/2021. (XI. 2.) önkormányzati hatályba nem lépéséről kell rendeletet alkotni 2022. január 1. napjával történő hatálybalépéssel.</w:t>
      </w:r>
    </w:p>
    <w:sectPr w:rsidR="00E71ED4" w:rsidSect="00E71ED4">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1D9" w:rsidRDefault="007511D9" w:rsidP="00E71ED4">
      <w:r>
        <w:separator/>
      </w:r>
    </w:p>
  </w:endnote>
  <w:endnote w:type="continuationSeparator" w:id="1">
    <w:p w:rsidR="007511D9" w:rsidRDefault="007511D9" w:rsidP="00E71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Cambria"/>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ED4" w:rsidRDefault="00E53E93">
    <w:pPr>
      <w:pStyle w:val="Footer"/>
      <w:jc w:val="center"/>
    </w:pPr>
    <w:r>
      <w:fldChar w:fldCharType="begin"/>
    </w:r>
    <w:r w:rsidR="009C3A3E">
      <w:instrText>PAGE</w:instrText>
    </w:r>
    <w:r>
      <w:fldChar w:fldCharType="separate"/>
    </w:r>
    <w:r w:rsidR="00017E89">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ED4" w:rsidRDefault="00E53E93">
    <w:pPr>
      <w:pStyle w:val="Footer"/>
      <w:jc w:val="center"/>
    </w:pPr>
    <w:r>
      <w:fldChar w:fldCharType="begin"/>
    </w:r>
    <w:r w:rsidR="009C3A3E">
      <w:instrText>PAGE</w:instrText>
    </w:r>
    <w:r>
      <w:fldChar w:fldCharType="separate"/>
    </w:r>
    <w:r w:rsidR="007C64FE">
      <w:rPr>
        <w:noProof/>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1D9" w:rsidRDefault="007511D9" w:rsidP="00E71ED4">
      <w:r>
        <w:separator/>
      </w:r>
    </w:p>
  </w:footnote>
  <w:footnote w:type="continuationSeparator" w:id="1">
    <w:p w:rsidR="007511D9" w:rsidRDefault="007511D9" w:rsidP="00E71E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24E6A"/>
    <w:multiLevelType w:val="multilevel"/>
    <w:tmpl w:val="201A0748"/>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7A642D9"/>
    <w:multiLevelType w:val="multilevel"/>
    <w:tmpl w:val="0CCA129E"/>
    <w:lvl w:ilvl="0">
      <w:start w:val="1"/>
      <w:numFmt w:val="lowerLetter"/>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633072D5"/>
    <w:multiLevelType w:val="multilevel"/>
    <w:tmpl w:val="CDEA1F0A"/>
    <w:lvl w:ilvl="0">
      <w:start w:val="1"/>
      <w:numFmt w:val="lowerLetter"/>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9"/>
  <w:autoHyphenation/>
  <w:hyphenationZone w:val="425"/>
  <w:characterSpacingControl w:val="doNotCompress"/>
  <w:footnotePr>
    <w:footnote w:id="0"/>
    <w:footnote w:id="1"/>
  </w:footnotePr>
  <w:endnotePr>
    <w:endnote w:id="0"/>
    <w:endnote w:id="1"/>
  </w:endnotePr>
  <w:compat/>
  <w:rsids>
    <w:rsidRoot w:val="00E71ED4"/>
    <w:rsid w:val="00017E89"/>
    <w:rsid w:val="00390FC6"/>
    <w:rsid w:val="004D7A4C"/>
    <w:rsid w:val="004E49BB"/>
    <w:rsid w:val="005C18F4"/>
    <w:rsid w:val="005F7511"/>
    <w:rsid w:val="006513AB"/>
    <w:rsid w:val="006F6809"/>
    <w:rsid w:val="007511D9"/>
    <w:rsid w:val="007C64FE"/>
    <w:rsid w:val="009C3A3E"/>
    <w:rsid w:val="00E53E93"/>
    <w:rsid w:val="00E65A90"/>
    <w:rsid w:val="00E71ED4"/>
    <w:rsid w:val="00F738A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71ED4"/>
    <w:rPr>
      <w:rFonts w:ascii="Times New Roman" w:hAnsi="Times New Roman"/>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1">
    <w:name w:val="Heading 1"/>
    <w:basedOn w:val="Heading"/>
    <w:next w:val="Szvegtrzs"/>
    <w:qFormat/>
    <w:rsid w:val="00E71ED4"/>
    <w:pPr>
      <w:numPr>
        <w:numId w:val="1"/>
      </w:numPr>
      <w:outlineLvl w:val="0"/>
    </w:pPr>
    <w:rPr>
      <w:b/>
      <w:bCs/>
      <w:sz w:val="36"/>
      <w:szCs w:val="36"/>
    </w:rPr>
  </w:style>
  <w:style w:type="paragraph" w:customStyle="1" w:styleId="Heading2">
    <w:name w:val="Heading 2"/>
    <w:basedOn w:val="Heading"/>
    <w:next w:val="Szvegtrzs"/>
    <w:qFormat/>
    <w:rsid w:val="00E71ED4"/>
    <w:pPr>
      <w:numPr>
        <w:ilvl w:val="1"/>
        <w:numId w:val="1"/>
      </w:numPr>
      <w:spacing w:before="200"/>
      <w:outlineLvl w:val="1"/>
    </w:pPr>
    <w:rPr>
      <w:b/>
      <w:bCs/>
      <w:sz w:val="32"/>
      <w:szCs w:val="32"/>
    </w:rPr>
  </w:style>
  <w:style w:type="paragraph" w:customStyle="1" w:styleId="Heading3">
    <w:name w:val="Heading 3"/>
    <w:basedOn w:val="Heading"/>
    <w:next w:val="Szvegtrzs"/>
    <w:qFormat/>
    <w:rsid w:val="00E71ED4"/>
    <w:pPr>
      <w:numPr>
        <w:ilvl w:val="2"/>
        <w:numId w:val="1"/>
      </w:numPr>
      <w:spacing w:before="140"/>
      <w:outlineLvl w:val="2"/>
    </w:pPr>
    <w:rPr>
      <w:b/>
      <w:bCs/>
    </w:rPr>
  </w:style>
  <w:style w:type="paragraph" w:customStyle="1" w:styleId="Heading4">
    <w:name w:val="Heading 4"/>
    <w:basedOn w:val="Heading"/>
    <w:next w:val="Szvegtrzs"/>
    <w:qFormat/>
    <w:rsid w:val="00E71ED4"/>
    <w:pPr>
      <w:numPr>
        <w:ilvl w:val="3"/>
        <w:numId w:val="1"/>
      </w:numPr>
      <w:spacing w:before="120"/>
      <w:outlineLvl w:val="3"/>
    </w:pPr>
    <w:rPr>
      <w:b/>
      <w:bCs/>
      <w:i/>
      <w:iCs/>
      <w:sz w:val="27"/>
      <w:szCs w:val="27"/>
    </w:rPr>
  </w:style>
  <w:style w:type="paragraph" w:customStyle="1" w:styleId="Heading5">
    <w:name w:val="Heading 5"/>
    <w:basedOn w:val="Heading"/>
    <w:next w:val="Szvegtrzs"/>
    <w:qFormat/>
    <w:rsid w:val="00E71ED4"/>
    <w:pPr>
      <w:numPr>
        <w:ilvl w:val="4"/>
        <w:numId w:val="1"/>
      </w:numPr>
      <w:spacing w:before="120" w:after="60"/>
      <w:outlineLvl w:val="4"/>
    </w:pPr>
    <w:rPr>
      <w:b/>
      <w:bCs/>
      <w:sz w:val="24"/>
      <w:szCs w:val="24"/>
    </w:rPr>
  </w:style>
  <w:style w:type="paragraph" w:customStyle="1" w:styleId="Heading6">
    <w:name w:val="Heading 6"/>
    <w:basedOn w:val="Heading"/>
    <w:next w:val="Szvegtrzs"/>
    <w:qFormat/>
    <w:rsid w:val="00E71ED4"/>
    <w:pPr>
      <w:numPr>
        <w:ilvl w:val="5"/>
        <w:numId w:val="1"/>
      </w:numPr>
      <w:spacing w:before="60" w:after="60"/>
      <w:outlineLvl w:val="5"/>
    </w:pPr>
    <w:rPr>
      <w:b/>
      <w:bCs/>
      <w:i/>
      <w:iCs/>
      <w:sz w:val="24"/>
      <w:szCs w:val="24"/>
    </w:rPr>
  </w:style>
  <w:style w:type="character" w:styleId="Hiperhivatkozs">
    <w:name w:val="Hyperlink"/>
    <w:rsid w:val="00E71ED4"/>
    <w:rPr>
      <w:color w:val="000080"/>
      <w:u w:val="single"/>
    </w:rPr>
  </w:style>
  <w:style w:type="character" w:styleId="Mrltotthiperhivatkozs">
    <w:name w:val="FollowedHyperlink"/>
    <w:rsid w:val="00E71ED4"/>
    <w:rPr>
      <w:color w:val="800000"/>
      <w:u w:val="single"/>
    </w:rPr>
  </w:style>
  <w:style w:type="character" w:customStyle="1" w:styleId="NumberingSymbols">
    <w:name w:val="Numbering Symbols"/>
    <w:qFormat/>
    <w:rsid w:val="00E71ED4"/>
  </w:style>
  <w:style w:type="character" w:customStyle="1" w:styleId="Bullets">
    <w:name w:val="Bullets"/>
    <w:qFormat/>
    <w:rsid w:val="00E71ED4"/>
    <w:rPr>
      <w:rFonts w:ascii="OpenSymbol" w:eastAsia="OpenSymbol" w:hAnsi="OpenSymbol" w:cs="OpenSymbol"/>
    </w:rPr>
  </w:style>
  <w:style w:type="paragraph" w:customStyle="1" w:styleId="Heading">
    <w:name w:val="Heading"/>
    <w:basedOn w:val="Norml"/>
    <w:next w:val="Szvegtrzs"/>
    <w:qFormat/>
    <w:rsid w:val="00E71ED4"/>
    <w:pPr>
      <w:keepNext/>
      <w:spacing w:before="240" w:after="120"/>
    </w:pPr>
    <w:rPr>
      <w:rFonts w:ascii="Liberation Sans" w:hAnsi="Liberation Sans"/>
      <w:sz w:val="28"/>
      <w:szCs w:val="28"/>
    </w:rPr>
  </w:style>
  <w:style w:type="paragraph" w:styleId="Szvegtrzs">
    <w:name w:val="Body Text"/>
    <w:basedOn w:val="Norml"/>
    <w:rsid w:val="00E71ED4"/>
    <w:pPr>
      <w:spacing w:after="140" w:line="288" w:lineRule="auto"/>
    </w:pPr>
  </w:style>
  <w:style w:type="paragraph" w:styleId="Lista">
    <w:name w:val="List"/>
    <w:basedOn w:val="Szvegtrzs"/>
    <w:rsid w:val="00E71ED4"/>
  </w:style>
  <w:style w:type="paragraph" w:customStyle="1" w:styleId="Caption">
    <w:name w:val="Caption"/>
    <w:basedOn w:val="Norml"/>
    <w:qFormat/>
    <w:rsid w:val="00E71ED4"/>
    <w:pPr>
      <w:suppressLineNumbers/>
      <w:spacing w:before="120" w:after="120"/>
    </w:pPr>
    <w:rPr>
      <w:i/>
      <w:iCs/>
    </w:rPr>
  </w:style>
  <w:style w:type="paragraph" w:customStyle="1" w:styleId="Index">
    <w:name w:val="Index"/>
    <w:basedOn w:val="Norml"/>
    <w:qFormat/>
    <w:rsid w:val="00E71ED4"/>
    <w:pPr>
      <w:suppressLineNumbers/>
    </w:pPr>
  </w:style>
  <w:style w:type="paragraph" w:customStyle="1" w:styleId="HeaderandFooter">
    <w:name w:val="Header and Footer"/>
    <w:basedOn w:val="Norml"/>
    <w:qFormat/>
    <w:rsid w:val="00E71ED4"/>
    <w:pPr>
      <w:suppressLineNumbers/>
      <w:tabs>
        <w:tab w:val="center" w:pos="4986"/>
        <w:tab w:val="right" w:pos="9972"/>
      </w:tabs>
    </w:pPr>
  </w:style>
  <w:style w:type="paragraph" w:customStyle="1" w:styleId="Footer">
    <w:name w:val="Footer"/>
    <w:basedOn w:val="Norml"/>
    <w:rsid w:val="00E71ED4"/>
    <w:pPr>
      <w:suppressLineNumbers/>
      <w:tabs>
        <w:tab w:val="center" w:pos="4819"/>
        <w:tab w:val="right" w:pos="9638"/>
      </w:tabs>
    </w:pPr>
  </w:style>
  <w:style w:type="paragraph" w:customStyle="1" w:styleId="TableContents">
    <w:name w:val="Table Contents"/>
    <w:basedOn w:val="Norml"/>
    <w:qFormat/>
    <w:rsid w:val="00E71ED4"/>
    <w:pPr>
      <w:suppressLineNumbers/>
    </w:pPr>
  </w:style>
  <w:style w:type="paragraph" w:customStyle="1" w:styleId="TableHeading">
    <w:name w:val="Table Heading"/>
    <w:basedOn w:val="TableContents"/>
    <w:qFormat/>
    <w:rsid w:val="00E71ED4"/>
    <w:pPr>
      <w:jc w:val="center"/>
    </w:pPr>
    <w:rPr>
      <w:b/>
      <w:bCs/>
    </w:rPr>
  </w:style>
  <w:style w:type="paragraph" w:customStyle="1" w:styleId="HorizontalLine">
    <w:name w:val="Horizontal Line"/>
    <w:basedOn w:val="Norml"/>
    <w:next w:val="Szvegtrzs"/>
    <w:qFormat/>
    <w:rsid w:val="00E71ED4"/>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5F7511"/>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2000225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883</Words>
  <Characters>6095</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2021-11-24T11:31:00Z</dcterms:created>
  <dcterms:modified xsi:type="dcterms:W3CDTF">2021-11-24T13:13:00Z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