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1C" w:rsidRPr="00D75E41" w:rsidRDefault="00552B1C" w:rsidP="00552B1C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552B1C" w:rsidRPr="00D75E41" w:rsidRDefault="00552B1C" w:rsidP="00552B1C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52B1C" w:rsidRPr="00D75E41" w:rsidRDefault="00552B1C" w:rsidP="00552B1C">
      <w:pPr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b/>
          <w:noProof/>
          <w:sz w:val="36"/>
          <w:szCs w:val="36"/>
        </w:rPr>
        <w:drawing>
          <wp:inline distT="0" distB="0" distL="0" distR="0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B1C" w:rsidRPr="00D75E41" w:rsidRDefault="00552B1C" w:rsidP="00552B1C">
      <w:pPr>
        <w:jc w:val="center"/>
        <w:rPr>
          <w:rFonts w:ascii="Century Gothic" w:hAnsi="Century Gothic"/>
          <w:sz w:val="36"/>
          <w:szCs w:val="36"/>
        </w:rPr>
      </w:pPr>
    </w:p>
    <w:p w:rsidR="00552B1C" w:rsidRPr="00D75E41" w:rsidRDefault="00552B1C" w:rsidP="00552B1C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552B1C" w:rsidRPr="00D75E41" w:rsidRDefault="00552B1C" w:rsidP="00552B1C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552B1C" w:rsidRPr="00D75E41" w:rsidRDefault="00552B1C" w:rsidP="00552B1C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552B1C" w:rsidRPr="00D75E41" w:rsidRDefault="00552B1C" w:rsidP="00552B1C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552B1C" w:rsidRPr="00D75E41" w:rsidRDefault="00552B1C" w:rsidP="00552B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2021. november 25.-ei nyilvános ülésére </w:t>
      </w:r>
    </w:p>
    <w:p w:rsidR="00552B1C" w:rsidRPr="00D75E41" w:rsidRDefault="00552B1C" w:rsidP="00552B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52B1C" w:rsidRPr="00D75E41" w:rsidRDefault="00552B1C" w:rsidP="00552B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52B1C" w:rsidRPr="00D75E41" w:rsidRDefault="00552B1C" w:rsidP="00552B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552B1C" w:rsidRPr="00D75E41" w:rsidRDefault="00552B1C" w:rsidP="00552B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52B1C" w:rsidRDefault="00552B1C" w:rsidP="00552B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Szervezeti és Működési Szabályzat módosítása</w:t>
      </w:r>
    </w:p>
    <w:p w:rsidR="00552B1C" w:rsidRPr="00D75E41" w:rsidRDefault="00552B1C" w:rsidP="00552B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52B1C" w:rsidRPr="00D75E41" w:rsidRDefault="00552B1C" w:rsidP="00552B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52B1C" w:rsidRPr="00D75E41" w:rsidRDefault="00552B1C" w:rsidP="00552B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52B1C" w:rsidRPr="00D75E41" w:rsidRDefault="00552B1C" w:rsidP="00552B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552B1C" w:rsidRDefault="00552B1C" w:rsidP="00552B1C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Mestyán Valéria </w:t>
      </w:r>
    </w:p>
    <w:p w:rsidR="00552B1C" w:rsidRDefault="00552B1C" w:rsidP="00552B1C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címzetes főjegyző</w:t>
      </w:r>
    </w:p>
    <w:p w:rsidR="00552B1C" w:rsidRDefault="00552B1C" w:rsidP="00552B1C">
      <w:pPr>
        <w:jc w:val="center"/>
        <w:rPr>
          <w:rFonts w:ascii="Century Gothic" w:hAnsi="Century Gothic"/>
          <w:sz w:val="36"/>
          <w:szCs w:val="36"/>
        </w:rPr>
      </w:pPr>
    </w:p>
    <w:p w:rsidR="00552B1C" w:rsidRDefault="00552B1C" w:rsidP="00552B1C">
      <w:pPr>
        <w:jc w:val="center"/>
        <w:rPr>
          <w:rFonts w:ascii="Century Gothic" w:hAnsi="Century Gothic"/>
          <w:sz w:val="36"/>
          <w:szCs w:val="36"/>
        </w:rPr>
      </w:pPr>
    </w:p>
    <w:p w:rsidR="00552B1C" w:rsidRDefault="00552B1C" w:rsidP="00552B1C">
      <w:pPr>
        <w:jc w:val="center"/>
        <w:rPr>
          <w:rFonts w:ascii="Century Gothic" w:hAnsi="Century Gothic"/>
          <w:sz w:val="36"/>
          <w:szCs w:val="36"/>
        </w:rPr>
      </w:pPr>
    </w:p>
    <w:p w:rsidR="00552B1C" w:rsidRDefault="00552B1C" w:rsidP="00552B1C">
      <w:pPr>
        <w:jc w:val="center"/>
        <w:rPr>
          <w:rFonts w:ascii="Century Gothic" w:hAnsi="Century Gothic"/>
          <w:sz w:val="36"/>
          <w:szCs w:val="36"/>
        </w:rPr>
      </w:pPr>
    </w:p>
    <w:p w:rsidR="00552B1C" w:rsidRDefault="00552B1C" w:rsidP="00552B1C">
      <w:pPr>
        <w:jc w:val="center"/>
        <w:rPr>
          <w:rFonts w:ascii="Century Gothic" w:hAnsi="Century Gothic"/>
          <w:sz w:val="36"/>
          <w:szCs w:val="36"/>
        </w:rPr>
      </w:pPr>
    </w:p>
    <w:p w:rsidR="00552B1C" w:rsidRDefault="00552B1C" w:rsidP="00552B1C">
      <w:pPr>
        <w:jc w:val="center"/>
        <w:rPr>
          <w:rFonts w:ascii="Century Gothic" w:hAnsi="Century Gothic"/>
          <w:sz w:val="36"/>
          <w:szCs w:val="36"/>
        </w:rPr>
      </w:pPr>
    </w:p>
    <w:p w:rsidR="00552B1C" w:rsidRDefault="00552B1C" w:rsidP="00552B1C">
      <w:pPr>
        <w:jc w:val="center"/>
        <w:rPr>
          <w:rFonts w:ascii="Century Gothic" w:hAnsi="Century Gothic"/>
          <w:sz w:val="36"/>
          <w:szCs w:val="36"/>
        </w:rPr>
      </w:pPr>
    </w:p>
    <w:p w:rsidR="00552B1C" w:rsidRPr="00376685" w:rsidRDefault="00552B1C" w:rsidP="00376685">
      <w:pPr>
        <w:jc w:val="center"/>
        <w:rPr>
          <w:rFonts w:ascii="Century Gothic" w:hAnsi="Century Gothic"/>
          <w:sz w:val="22"/>
          <w:szCs w:val="22"/>
        </w:rPr>
      </w:pPr>
    </w:p>
    <w:p w:rsidR="00552B1C" w:rsidRPr="00376685" w:rsidRDefault="00552B1C" w:rsidP="00376685">
      <w:pPr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lastRenderedPageBreak/>
        <w:t>Tisztelt Képviselő-testület!</w:t>
      </w:r>
    </w:p>
    <w:p w:rsidR="00552B1C" w:rsidRPr="00376685" w:rsidRDefault="00552B1C" w:rsidP="00376685">
      <w:pPr>
        <w:jc w:val="both"/>
        <w:rPr>
          <w:rFonts w:ascii="Century Gothic" w:hAnsi="Century Gothic"/>
          <w:sz w:val="22"/>
          <w:szCs w:val="22"/>
        </w:rPr>
      </w:pPr>
    </w:p>
    <w:p w:rsidR="00552B1C" w:rsidRPr="00376685" w:rsidRDefault="00552B1C" w:rsidP="00376685">
      <w:pPr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A Somogy Megyei Kormányhivatal Hatósági Főosztály Törvényességi Felügyeleti Osztálya a megye minden jegyzője számára megküldte az SO/03/1298-2/2021. számú szakmai segítségnyújtást, és egyben felhívást a Magyarország helyi önkormányzatairól szóló 2011. évi CLXXXIX. törvény 44.§-ában rögzített rend</w:t>
      </w:r>
      <w:r w:rsidR="008E3BF9">
        <w:rPr>
          <w:rFonts w:ascii="Century Gothic" w:hAnsi="Century Gothic"/>
          <w:sz w:val="22"/>
          <w:szCs w:val="22"/>
        </w:rPr>
        <w:t xml:space="preserve">kívüli testületi ülés kötelező </w:t>
      </w:r>
      <w:r w:rsidRPr="00376685">
        <w:rPr>
          <w:rFonts w:ascii="Century Gothic" w:hAnsi="Century Gothic"/>
          <w:sz w:val="22"/>
          <w:szCs w:val="22"/>
        </w:rPr>
        <w:t>összehívását érin</w:t>
      </w:r>
      <w:r w:rsidR="00376685">
        <w:rPr>
          <w:rFonts w:ascii="Century Gothic" w:hAnsi="Century Gothic"/>
          <w:sz w:val="22"/>
          <w:szCs w:val="22"/>
        </w:rPr>
        <w:t>tő szabályozással kapcsolatban.</w:t>
      </w:r>
    </w:p>
    <w:p w:rsidR="00552B1C" w:rsidRPr="00376685" w:rsidRDefault="00552B1C" w:rsidP="00376685">
      <w:pPr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A Miniszterelnökség Hatósági Ügyekért Felelős Helyettes Államtitkársága a megyei kormányhivatalok szakmai irányítása során a fenti, Mötv. 44.§-ában rögzített témakörben az önkormányzati rendeletben történő szabályozással összefüggően eltérő jo</w:t>
      </w:r>
      <w:r w:rsidR="00376685">
        <w:rPr>
          <w:rFonts w:ascii="Century Gothic" w:hAnsi="Century Gothic"/>
          <w:sz w:val="22"/>
          <w:szCs w:val="22"/>
        </w:rPr>
        <w:t xml:space="preserve">galkotói gyakorlatot tárt fel. </w:t>
      </w:r>
    </w:p>
    <w:p w:rsidR="00552B1C" w:rsidRPr="00376685" w:rsidRDefault="00552B1C" w:rsidP="00376685">
      <w:pPr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Az egységes joggyakorlat kialakítása érdekében a következőket kell szem előtt tartani:</w:t>
      </w:r>
    </w:p>
    <w:p w:rsidR="00552B1C" w:rsidRPr="00376685" w:rsidRDefault="00552B1C" w:rsidP="00376685">
      <w:pPr>
        <w:jc w:val="both"/>
        <w:rPr>
          <w:rFonts w:ascii="Century Gothic" w:hAnsi="Century Gothic"/>
          <w:sz w:val="22"/>
          <w:szCs w:val="22"/>
        </w:rPr>
      </w:pPr>
    </w:p>
    <w:p w:rsidR="00552B1C" w:rsidRPr="00376685" w:rsidRDefault="00552B1C" w:rsidP="00376685">
      <w:pPr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Az Mötv. fentiekben hivatkozott rendelkezése értelmében a polgármester köteles a testületi</w:t>
      </w:r>
      <w:r w:rsidR="008E3BF9">
        <w:rPr>
          <w:rFonts w:ascii="Century Gothic" w:hAnsi="Century Gothic"/>
          <w:sz w:val="22"/>
          <w:szCs w:val="22"/>
        </w:rPr>
        <w:t xml:space="preserve"> </w:t>
      </w:r>
      <w:r w:rsidRPr="00376685">
        <w:rPr>
          <w:rFonts w:ascii="Century Gothic" w:hAnsi="Century Gothic"/>
          <w:sz w:val="22"/>
          <w:szCs w:val="22"/>
        </w:rPr>
        <w:t>ülést összehívni a települési képviselők egynegyedének, a képviselő-testület bármely bizottságának vagy a kormánymegbízottnak a rendkívüli testületi ülés összehívására irányuló indítványára, amelyben meg kell határozni a testület</w:t>
      </w:r>
      <w:r w:rsidR="00376685">
        <w:rPr>
          <w:rFonts w:ascii="Century Gothic" w:hAnsi="Century Gothic"/>
          <w:sz w:val="22"/>
          <w:szCs w:val="22"/>
        </w:rPr>
        <w:t xml:space="preserve">i ülés összehívásának indokát. </w:t>
      </w:r>
    </w:p>
    <w:p w:rsidR="004637D4" w:rsidRPr="00376685" w:rsidRDefault="00552B1C" w:rsidP="00376685">
      <w:pPr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Az SzmSz-ek áttekintését követően megfigyelhető volt, hogy egyéb feltételek is megjelölésre kerültek, a rendkívüli ülés</w:t>
      </w:r>
      <w:r w:rsidR="004637D4" w:rsidRPr="00376685">
        <w:rPr>
          <w:rFonts w:ascii="Century Gothic" w:hAnsi="Century Gothic"/>
          <w:sz w:val="22"/>
          <w:szCs w:val="22"/>
        </w:rPr>
        <w:t xml:space="preserve"> összehívása kapcsán. </w:t>
      </w:r>
    </w:p>
    <w:p w:rsidR="004637D4" w:rsidRPr="00376685" w:rsidRDefault="004637D4" w:rsidP="00376685">
      <w:pPr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 xml:space="preserve">Az Mötv-ben egyetlen jogszabályi kötelezettséget ír elő kezdeményezők számára, hogy meg kell jelölni az indítványban a rendkívüli ülés összehívásának indokát. </w:t>
      </w:r>
    </w:p>
    <w:p w:rsidR="004637D4" w:rsidRPr="00376685" w:rsidRDefault="004637D4" w:rsidP="00376685">
      <w:pPr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Az Mötv.44.§-a értelmében a polgármesternek a rendkívüli ülést a kezdeményezéstől számított 15 napon belüli időpontra kell összehívnia.</w:t>
      </w:r>
    </w:p>
    <w:p w:rsidR="004637D4" w:rsidRPr="00376685" w:rsidRDefault="004637D4" w:rsidP="00376685">
      <w:pPr>
        <w:jc w:val="both"/>
        <w:rPr>
          <w:rFonts w:ascii="Century Gothic" w:hAnsi="Century Gothic"/>
          <w:sz w:val="22"/>
          <w:szCs w:val="22"/>
        </w:rPr>
      </w:pPr>
    </w:p>
    <w:p w:rsidR="004637D4" w:rsidRDefault="004637D4" w:rsidP="00376685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A törvényesség biztosítása érdekében indokolttá vált a Szervezeti</w:t>
      </w:r>
      <w:r w:rsidR="008E3BF9">
        <w:rPr>
          <w:rFonts w:ascii="Century Gothic" w:hAnsi="Century Gothic"/>
          <w:sz w:val="22"/>
          <w:szCs w:val="22"/>
        </w:rPr>
        <w:t xml:space="preserve"> és Működési Szabál</w:t>
      </w:r>
      <w:r w:rsidRPr="00376685">
        <w:rPr>
          <w:rFonts w:ascii="Century Gothic" w:hAnsi="Century Gothic"/>
          <w:sz w:val="22"/>
          <w:szCs w:val="22"/>
        </w:rPr>
        <w:t xml:space="preserve">yzatról szóló </w:t>
      </w:r>
      <w:r w:rsidRPr="00376685">
        <w:rPr>
          <w:rFonts w:ascii="Century Gothic" w:hAnsi="Century Gothic"/>
          <w:b/>
          <w:bCs/>
          <w:sz w:val="22"/>
          <w:szCs w:val="22"/>
        </w:rPr>
        <w:t xml:space="preserve">13/2019. (X.28..) önkormányzati rendelete módosítása – a </w:t>
      </w:r>
      <w:r w:rsidRPr="00376685">
        <w:rPr>
          <w:rFonts w:ascii="Century Gothic" w:hAnsi="Century Gothic"/>
          <w:sz w:val="22"/>
          <w:szCs w:val="22"/>
        </w:rPr>
        <w:t>14.§ (2) bekezdésében foglaltak újraszabályozása, melynek során  „a napirendi indítvány feltüntetésével, a hely és időpont megjelölésével, a meghívandók körére is kitérve” szabályozás mellőzésre került.</w:t>
      </w:r>
    </w:p>
    <w:p w:rsidR="00376685" w:rsidRPr="00376685" w:rsidRDefault="00376685" w:rsidP="00376685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376685" w:rsidRPr="00376685" w:rsidRDefault="00376685" w:rsidP="00376685">
      <w:pPr>
        <w:jc w:val="center"/>
        <w:rPr>
          <w:rFonts w:ascii="Century Gothic" w:hAnsi="Century Gothic"/>
          <w:b/>
          <w:color w:val="231F20"/>
          <w:spacing w:val="-2"/>
          <w:sz w:val="22"/>
          <w:szCs w:val="22"/>
        </w:rPr>
      </w:pPr>
      <w:r w:rsidRPr="00376685">
        <w:rPr>
          <w:rFonts w:ascii="Century Gothic" w:hAnsi="Century Gothic"/>
          <w:b/>
          <w:color w:val="231F20"/>
          <w:spacing w:val="-2"/>
          <w:sz w:val="22"/>
          <w:szCs w:val="22"/>
        </w:rPr>
        <w:t>Előzetes hatásvizsgálati lap</w:t>
      </w:r>
    </w:p>
    <w:p w:rsidR="00376685" w:rsidRPr="00376685" w:rsidRDefault="00376685" w:rsidP="00376685">
      <w:pPr>
        <w:jc w:val="center"/>
        <w:rPr>
          <w:rFonts w:ascii="Century Gothic" w:hAnsi="Century Gothic"/>
          <w:b/>
          <w:color w:val="231F20"/>
          <w:spacing w:val="-2"/>
          <w:sz w:val="22"/>
          <w:szCs w:val="22"/>
        </w:rPr>
      </w:pPr>
      <w:r w:rsidRPr="00376685">
        <w:rPr>
          <w:rFonts w:ascii="Century Gothic" w:hAnsi="Century Gothic"/>
          <w:b/>
          <w:color w:val="231F20"/>
          <w:spacing w:val="-2"/>
          <w:sz w:val="22"/>
          <w:szCs w:val="22"/>
        </w:rPr>
        <w:t>Balatonberény Község Önkormányzata Képviselő-testületének a Szervezeti  sés Működési Szabályzatáról szóló 13/2019.(X.28.) önkormányzati rendelet módosításához</w:t>
      </w:r>
    </w:p>
    <w:p w:rsidR="00376685" w:rsidRPr="00376685" w:rsidRDefault="00376685" w:rsidP="00376685">
      <w:pPr>
        <w:jc w:val="both"/>
        <w:rPr>
          <w:rFonts w:ascii="Century Gothic" w:hAnsi="Century Gothic"/>
          <w:color w:val="231F20"/>
          <w:spacing w:val="-2"/>
          <w:sz w:val="22"/>
          <w:szCs w:val="22"/>
        </w:rPr>
      </w:pPr>
      <w:r w:rsidRPr="00376685">
        <w:rPr>
          <w:rFonts w:ascii="Century Gothic" w:hAnsi="Century Gothic"/>
          <w:color w:val="231F20"/>
          <w:spacing w:val="-2"/>
          <w:sz w:val="22"/>
          <w:szCs w:val="22"/>
        </w:rPr>
        <w:t>(a jogalkotásról szóló 2010. évi CXXX. törvény 17.§-a alapján)</w:t>
      </w:r>
    </w:p>
    <w:p w:rsidR="00376685" w:rsidRPr="00376685" w:rsidRDefault="00376685" w:rsidP="00376685">
      <w:pPr>
        <w:jc w:val="both"/>
        <w:rPr>
          <w:rFonts w:ascii="Century Gothic" w:hAnsi="Century Gothic"/>
          <w:color w:val="231F20"/>
          <w:spacing w:val="-2"/>
          <w:sz w:val="22"/>
          <w:szCs w:val="22"/>
        </w:rPr>
      </w:pPr>
    </w:p>
    <w:p w:rsidR="00376685" w:rsidRPr="00376685" w:rsidRDefault="00376685" w:rsidP="00376685">
      <w:pPr>
        <w:jc w:val="both"/>
        <w:rPr>
          <w:rFonts w:ascii="Century Gothic" w:hAnsi="Century Gothic"/>
          <w:color w:val="231F20"/>
          <w:spacing w:val="-2"/>
          <w:sz w:val="22"/>
          <w:szCs w:val="22"/>
        </w:rPr>
      </w:pPr>
      <w:r w:rsidRPr="00376685">
        <w:rPr>
          <w:rFonts w:ascii="Century Gothic" w:hAnsi="Century Gothic"/>
          <w:color w:val="231F20"/>
          <w:spacing w:val="-2"/>
          <w:sz w:val="22"/>
          <w:szCs w:val="22"/>
        </w:rPr>
        <w:t>A tervezett jogszabály várható következményei, különösen</w:t>
      </w:r>
    </w:p>
    <w:p w:rsidR="00376685" w:rsidRPr="00376685" w:rsidRDefault="00376685" w:rsidP="00376685">
      <w:pPr>
        <w:numPr>
          <w:ilvl w:val="0"/>
          <w:numId w:val="1"/>
        </w:numPr>
        <w:ind w:left="0" w:firstLine="0"/>
        <w:jc w:val="both"/>
        <w:rPr>
          <w:rFonts w:ascii="Century Gothic" w:hAnsi="Century Gothic"/>
          <w:i/>
          <w:color w:val="231F20"/>
          <w:spacing w:val="-2"/>
          <w:sz w:val="22"/>
          <w:szCs w:val="22"/>
        </w:rPr>
      </w:pPr>
      <w:r w:rsidRPr="00376685">
        <w:rPr>
          <w:rFonts w:ascii="Century Gothic" w:hAnsi="Century Gothic"/>
          <w:b/>
          <w:i/>
          <w:color w:val="231F20"/>
          <w:spacing w:val="-2"/>
          <w:sz w:val="22"/>
          <w:szCs w:val="22"/>
        </w:rPr>
        <w:t>társadalmi hatás</w:t>
      </w:r>
      <w:r w:rsidRPr="00376685">
        <w:rPr>
          <w:rFonts w:ascii="Century Gothic" w:hAnsi="Century Gothic"/>
          <w:i/>
          <w:color w:val="231F20"/>
          <w:spacing w:val="-2"/>
          <w:sz w:val="22"/>
          <w:szCs w:val="22"/>
        </w:rPr>
        <w:t>: nincs</w:t>
      </w:r>
    </w:p>
    <w:p w:rsidR="00376685" w:rsidRPr="00376685" w:rsidRDefault="00376685" w:rsidP="00376685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entury Gothic" w:hAnsi="Century Gothic"/>
        </w:rPr>
      </w:pPr>
      <w:r w:rsidRPr="00376685">
        <w:rPr>
          <w:rFonts w:ascii="Century Gothic" w:hAnsi="Century Gothic"/>
          <w:b/>
          <w:color w:val="231F20"/>
          <w:spacing w:val="-2"/>
        </w:rPr>
        <w:t>gazdasági hatása</w:t>
      </w:r>
      <w:r w:rsidRPr="00376685">
        <w:rPr>
          <w:rFonts w:ascii="Century Gothic" w:hAnsi="Century Gothic"/>
          <w:color w:val="231F20"/>
          <w:spacing w:val="-2"/>
        </w:rPr>
        <w:t xml:space="preserve">: </w:t>
      </w:r>
      <w:r w:rsidRPr="00376685">
        <w:rPr>
          <w:rFonts w:ascii="Century Gothic" w:hAnsi="Century Gothic"/>
        </w:rPr>
        <w:t>nincs</w:t>
      </w:r>
    </w:p>
    <w:p w:rsidR="00376685" w:rsidRPr="00376685" w:rsidRDefault="00376685" w:rsidP="00376685">
      <w:pPr>
        <w:numPr>
          <w:ilvl w:val="0"/>
          <w:numId w:val="1"/>
        </w:numPr>
        <w:ind w:left="0" w:firstLine="0"/>
        <w:jc w:val="both"/>
        <w:rPr>
          <w:rFonts w:ascii="Century Gothic" w:hAnsi="Century Gothic"/>
          <w:color w:val="231F20"/>
          <w:spacing w:val="-2"/>
          <w:sz w:val="22"/>
          <w:szCs w:val="22"/>
        </w:rPr>
      </w:pPr>
      <w:r w:rsidRPr="00376685">
        <w:rPr>
          <w:rFonts w:ascii="Century Gothic" w:hAnsi="Century Gothic"/>
          <w:b/>
          <w:color w:val="231F20"/>
          <w:spacing w:val="-2"/>
          <w:sz w:val="22"/>
          <w:szCs w:val="22"/>
        </w:rPr>
        <w:t>költségvetési hatásai</w:t>
      </w:r>
      <w:r w:rsidRPr="00376685">
        <w:rPr>
          <w:rFonts w:ascii="Century Gothic" w:hAnsi="Century Gothic"/>
          <w:color w:val="231F20"/>
          <w:spacing w:val="-2"/>
          <w:sz w:val="22"/>
          <w:szCs w:val="22"/>
        </w:rPr>
        <w:t>:  nincs</w:t>
      </w:r>
    </w:p>
    <w:p w:rsidR="00376685" w:rsidRPr="00376685" w:rsidRDefault="00376685" w:rsidP="00376685">
      <w:pPr>
        <w:numPr>
          <w:ilvl w:val="0"/>
          <w:numId w:val="1"/>
        </w:numPr>
        <w:ind w:left="0" w:firstLine="0"/>
        <w:jc w:val="both"/>
        <w:rPr>
          <w:rFonts w:ascii="Century Gothic" w:hAnsi="Century Gothic"/>
          <w:color w:val="231F20"/>
          <w:spacing w:val="-2"/>
          <w:sz w:val="22"/>
          <w:szCs w:val="22"/>
        </w:rPr>
      </w:pPr>
      <w:r w:rsidRPr="00376685">
        <w:rPr>
          <w:rFonts w:ascii="Century Gothic" w:hAnsi="Century Gothic"/>
          <w:b/>
          <w:color w:val="231F20"/>
          <w:spacing w:val="-2"/>
          <w:sz w:val="22"/>
          <w:szCs w:val="22"/>
        </w:rPr>
        <w:t>környezeti következményei:</w:t>
      </w:r>
      <w:r w:rsidRPr="00376685">
        <w:rPr>
          <w:rFonts w:ascii="Century Gothic" w:hAnsi="Century Gothic"/>
          <w:color w:val="231F20"/>
          <w:spacing w:val="-2"/>
          <w:sz w:val="22"/>
          <w:szCs w:val="22"/>
        </w:rPr>
        <w:t xml:space="preserve"> nincs</w:t>
      </w:r>
    </w:p>
    <w:p w:rsidR="00376685" w:rsidRPr="00376685" w:rsidRDefault="00376685" w:rsidP="00376685">
      <w:pPr>
        <w:numPr>
          <w:ilvl w:val="0"/>
          <w:numId w:val="1"/>
        </w:numPr>
        <w:ind w:left="0" w:firstLine="0"/>
        <w:jc w:val="both"/>
        <w:rPr>
          <w:rFonts w:ascii="Century Gothic" w:hAnsi="Century Gothic"/>
          <w:color w:val="231F20"/>
          <w:spacing w:val="-2"/>
          <w:sz w:val="22"/>
          <w:szCs w:val="22"/>
        </w:rPr>
      </w:pPr>
      <w:r w:rsidRPr="00376685">
        <w:rPr>
          <w:rFonts w:ascii="Century Gothic" w:hAnsi="Century Gothic"/>
          <w:b/>
          <w:color w:val="231F20"/>
          <w:spacing w:val="-2"/>
          <w:sz w:val="22"/>
          <w:szCs w:val="22"/>
        </w:rPr>
        <w:t>egészségi következményei</w:t>
      </w:r>
      <w:r w:rsidRPr="00376685">
        <w:rPr>
          <w:rFonts w:ascii="Century Gothic" w:hAnsi="Century Gothic"/>
          <w:color w:val="231F20"/>
          <w:spacing w:val="-2"/>
          <w:sz w:val="22"/>
          <w:szCs w:val="22"/>
        </w:rPr>
        <w:t>: a tervezetnek egészségi következménye nincs</w:t>
      </w:r>
    </w:p>
    <w:p w:rsidR="00376685" w:rsidRPr="00376685" w:rsidRDefault="00376685" w:rsidP="00376685">
      <w:pPr>
        <w:numPr>
          <w:ilvl w:val="0"/>
          <w:numId w:val="1"/>
        </w:numPr>
        <w:ind w:left="0" w:firstLine="0"/>
        <w:jc w:val="both"/>
        <w:rPr>
          <w:rFonts w:ascii="Century Gothic" w:hAnsi="Century Gothic"/>
          <w:color w:val="231F20"/>
          <w:spacing w:val="-2"/>
          <w:sz w:val="22"/>
          <w:szCs w:val="22"/>
        </w:rPr>
      </w:pPr>
      <w:r w:rsidRPr="00376685">
        <w:rPr>
          <w:rFonts w:ascii="Century Gothic" w:hAnsi="Century Gothic"/>
          <w:b/>
          <w:color w:val="231F20"/>
          <w:spacing w:val="-2"/>
          <w:sz w:val="22"/>
          <w:szCs w:val="22"/>
        </w:rPr>
        <w:t>adminisztratív terheket befolyásoló hatásai</w:t>
      </w:r>
      <w:r w:rsidRPr="00376685">
        <w:rPr>
          <w:rFonts w:ascii="Century Gothic" w:hAnsi="Century Gothic"/>
          <w:color w:val="231F20"/>
          <w:spacing w:val="-2"/>
          <w:sz w:val="22"/>
          <w:szCs w:val="22"/>
        </w:rPr>
        <w:t>: nincs</w:t>
      </w:r>
    </w:p>
    <w:p w:rsidR="00376685" w:rsidRPr="00376685" w:rsidRDefault="00376685" w:rsidP="00376685">
      <w:pPr>
        <w:numPr>
          <w:ilvl w:val="0"/>
          <w:numId w:val="1"/>
        </w:numPr>
        <w:ind w:left="0" w:firstLine="0"/>
        <w:jc w:val="both"/>
        <w:rPr>
          <w:rFonts w:ascii="Century Gothic" w:hAnsi="Century Gothic"/>
          <w:color w:val="231F20"/>
          <w:spacing w:val="-2"/>
          <w:sz w:val="22"/>
          <w:szCs w:val="22"/>
        </w:rPr>
      </w:pPr>
      <w:r w:rsidRPr="00376685">
        <w:rPr>
          <w:rFonts w:ascii="Century Gothic" w:hAnsi="Century Gothic"/>
          <w:b/>
          <w:color w:val="231F20"/>
          <w:spacing w:val="-2"/>
          <w:sz w:val="22"/>
          <w:szCs w:val="22"/>
        </w:rPr>
        <w:t>megalkotásának szükségessége:</w:t>
      </w:r>
      <w:r w:rsidRPr="00376685">
        <w:rPr>
          <w:rFonts w:ascii="Century Gothic" w:hAnsi="Century Gothic"/>
          <w:sz w:val="22"/>
          <w:szCs w:val="22"/>
        </w:rPr>
        <w:t>törvényesség biztosítása az Mötv. 44.§-ában foglaltak szerint, ellenkező esetben törvényességi felhívás a Kormányhivatal részéről</w:t>
      </w:r>
    </w:p>
    <w:p w:rsidR="004637D4" w:rsidRPr="00376685" w:rsidRDefault="00376685" w:rsidP="00376685">
      <w:pPr>
        <w:numPr>
          <w:ilvl w:val="0"/>
          <w:numId w:val="1"/>
        </w:numPr>
        <w:ind w:left="0" w:firstLine="0"/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b/>
          <w:color w:val="231F20"/>
          <w:spacing w:val="-2"/>
          <w:sz w:val="22"/>
          <w:szCs w:val="22"/>
        </w:rPr>
        <w:t xml:space="preserve">alkalmazásához szükséges személyi, szervezeti, tárgyi és pénzügyi feltételek: </w:t>
      </w:r>
      <w:r w:rsidRPr="00376685">
        <w:rPr>
          <w:rFonts w:ascii="Century Gothic" w:hAnsi="Century Gothic"/>
          <w:color w:val="231F20"/>
          <w:spacing w:val="-2"/>
          <w:sz w:val="22"/>
          <w:szCs w:val="22"/>
        </w:rPr>
        <w:t xml:space="preserve">rendelkezésre áll. </w:t>
      </w:r>
    </w:p>
    <w:p w:rsidR="00376685" w:rsidRPr="00376685" w:rsidRDefault="00376685" w:rsidP="00376685">
      <w:pPr>
        <w:jc w:val="both"/>
        <w:rPr>
          <w:rFonts w:ascii="Century Gothic" w:hAnsi="Century Gothic"/>
          <w:b/>
          <w:sz w:val="22"/>
          <w:szCs w:val="22"/>
        </w:rPr>
      </w:pPr>
    </w:p>
    <w:p w:rsidR="00376685" w:rsidRPr="00376685" w:rsidRDefault="00376685" w:rsidP="00376685">
      <w:pPr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Balatonberény, 2021. 11. 23.</w:t>
      </w:r>
    </w:p>
    <w:p w:rsidR="00376685" w:rsidRPr="00376685" w:rsidRDefault="00376685" w:rsidP="00376685">
      <w:pPr>
        <w:jc w:val="both"/>
        <w:rPr>
          <w:rFonts w:ascii="Century Gothic" w:hAnsi="Century Gothic"/>
          <w:sz w:val="22"/>
          <w:szCs w:val="22"/>
        </w:rPr>
      </w:pPr>
    </w:p>
    <w:p w:rsidR="00376685" w:rsidRPr="00376685" w:rsidRDefault="00376685" w:rsidP="00376685">
      <w:pPr>
        <w:jc w:val="right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Mestyán Valéria sk.</w:t>
      </w:r>
    </w:p>
    <w:p w:rsidR="00376685" w:rsidRDefault="00376685" w:rsidP="00376685">
      <w:pPr>
        <w:jc w:val="right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 xml:space="preserve">címzetes főjegyző </w:t>
      </w:r>
    </w:p>
    <w:p w:rsidR="00376685" w:rsidRDefault="00376685" w:rsidP="00376685">
      <w:pPr>
        <w:jc w:val="right"/>
        <w:rPr>
          <w:rFonts w:ascii="Century Gothic" w:hAnsi="Century Gothic"/>
          <w:sz w:val="22"/>
          <w:szCs w:val="22"/>
        </w:rPr>
      </w:pPr>
    </w:p>
    <w:p w:rsidR="00376685" w:rsidRPr="00376685" w:rsidRDefault="00376685" w:rsidP="00376685">
      <w:pPr>
        <w:jc w:val="right"/>
        <w:rPr>
          <w:rFonts w:ascii="Century Gothic" w:hAnsi="Century Gothic"/>
          <w:sz w:val="22"/>
          <w:szCs w:val="22"/>
        </w:rPr>
      </w:pPr>
    </w:p>
    <w:p w:rsidR="00376685" w:rsidRDefault="004637D4" w:rsidP="00376685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376685">
        <w:rPr>
          <w:rFonts w:ascii="Century Gothic" w:hAnsi="Century Gothic"/>
          <w:b/>
          <w:bCs/>
          <w:sz w:val="22"/>
          <w:szCs w:val="22"/>
        </w:rPr>
        <w:t xml:space="preserve">Balatonberény Község Önkormányzata Képviselő-testületének </w:t>
      </w:r>
    </w:p>
    <w:p w:rsidR="004637D4" w:rsidRPr="00376685" w:rsidRDefault="004637D4" w:rsidP="00376685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376685">
        <w:rPr>
          <w:rFonts w:ascii="Century Gothic" w:hAnsi="Century Gothic"/>
          <w:b/>
          <w:bCs/>
          <w:sz w:val="22"/>
          <w:szCs w:val="22"/>
        </w:rPr>
        <w:t>.../.... (...) önkormányzati rendelete</w:t>
      </w:r>
    </w:p>
    <w:p w:rsidR="004637D4" w:rsidRDefault="004637D4" w:rsidP="00376685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376685">
        <w:rPr>
          <w:rFonts w:ascii="Century Gothic" w:hAnsi="Century Gothic"/>
          <w:b/>
          <w:bCs/>
          <w:sz w:val="22"/>
          <w:szCs w:val="22"/>
        </w:rPr>
        <w:t>a képviselő-testület Szervezeti és Működési Szabályzatáról szóló 13/2019. (X.28..) önkormányzati rendelete módosításáról</w:t>
      </w:r>
    </w:p>
    <w:p w:rsidR="008E3BF9" w:rsidRPr="00376685" w:rsidRDefault="008E3BF9" w:rsidP="00376685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4637D4" w:rsidRDefault="004637D4" w:rsidP="00376685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Balatonberény Község Önkormányzat képviselő-testülete az Alaptörvény 32. cikk (2) bekezdésében kapott eredeti jogalkotói hatáskörében, az Alaptörvény 32. cikk (1) bekezdés d) pontjában meghatározott feladatkörében eljárva, a Magyarország helyi önkormányzatairól szóló 2011. évi CLXXXIX. törvény 53. § (1) bekezdésében foglalt felhatalmazás alapján a következőket rendeli el:</w:t>
      </w:r>
    </w:p>
    <w:p w:rsidR="008E3BF9" w:rsidRPr="00376685" w:rsidRDefault="008E3BF9" w:rsidP="00376685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4637D4" w:rsidRPr="00376685" w:rsidRDefault="004637D4" w:rsidP="00376685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376685">
        <w:rPr>
          <w:rFonts w:ascii="Century Gothic" w:hAnsi="Century Gothic"/>
          <w:b/>
          <w:bCs/>
          <w:sz w:val="22"/>
          <w:szCs w:val="22"/>
        </w:rPr>
        <w:t>1. §</w:t>
      </w:r>
    </w:p>
    <w:p w:rsidR="004637D4" w:rsidRPr="00376685" w:rsidRDefault="004637D4" w:rsidP="00376685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A képviselő-testület Szervezeti és Működési Szabályzatáról szóló Balatonberény Község Önkormányzat Képviselő-testülete 13/2019. (X.28..) önkormányzati rendelete 14. § (2) bekezdése helyébe a következő rendelkezés lép:</w:t>
      </w:r>
    </w:p>
    <w:p w:rsidR="004637D4" w:rsidRPr="00376685" w:rsidRDefault="004637D4" w:rsidP="00376685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„(2) A képviselő-testület összehívására irányuló kezdeményezést írásban a polgármesternél kell benyújtani.”</w:t>
      </w:r>
    </w:p>
    <w:p w:rsidR="004637D4" w:rsidRPr="00376685" w:rsidRDefault="004637D4" w:rsidP="00376685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376685">
        <w:rPr>
          <w:rFonts w:ascii="Century Gothic" w:hAnsi="Century Gothic"/>
          <w:b/>
          <w:bCs/>
          <w:sz w:val="22"/>
          <w:szCs w:val="22"/>
        </w:rPr>
        <w:t>2. §</w:t>
      </w:r>
    </w:p>
    <w:p w:rsidR="004637D4" w:rsidRPr="00376685" w:rsidRDefault="004637D4" w:rsidP="00376685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Ez a rendelet a kihirdetését követő harmadik napon lép hatályba.</w:t>
      </w:r>
    </w:p>
    <w:p w:rsidR="004637D4" w:rsidRPr="00376685" w:rsidRDefault="004637D4" w:rsidP="00376685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4637D4" w:rsidRPr="00376685" w:rsidRDefault="004637D4" w:rsidP="00376685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4637D4" w:rsidRPr="00376685" w:rsidRDefault="004637D4" w:rsidP="00376685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Horváth László                                                                                     Mestyán Valéria</w:t>
      </w:r>
    </w:p>
    <w:p w:rsidR="004637D4" w:rsidRPr="00376685" w:rsidRDefault="004637D4" w:rsidP="00376685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polgármester                                                                                         címzetes főjegyző</w:t>
      </w:r>
    </w:p>
    <w:p w:rsidR="004637D4" w:rsidRPr="00376685" w:rsidRDefault="004637D4" w:rsidP="00376685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4637D4" w:rsidRPr="00376685" w:rsidRDefault="004637D4" w:rsidP="00376685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4637D4" w:rsidRPr="00376685" w:rsidRDefault="004637D4" w:rsidP="00376685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Kihirdetve: 2021. november …</w:t>
      </w:r>
    </w:p>
    <w:p w:rsidR="008E3BF9" w:rsidRDefault="008E3BF9" w:rsidP="00376685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8E3BF9" w:rsidRDefault="008E3BF9" w:rsidP="00376685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4637D4" w:rsidRPr="00376685" w:rsidRDefault="004637D4" w:rsidP="00376685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Mestyán Valéria</w:t>
      </w:r>
    </w:p>
    <w:p w:rsidR="004637D4" w:rsidRPr="00376685" w:rsidRDefault="00376685" w:rsidP="00376685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  <w:sectPr w:rsidR="004637D4" w:rsidRPr="00376685" w:rsidSect="00376685">
          <w:footerReference w:type="default" r:id="rId8"/>
          <w:pgSz w:w="11906" w:h="16838"/>
          <w:pgMar w:top="1134" w:right="1134" w:bottom="851" w:left="1134" w:header="0" w:footer="1134" w:gutter="0"/>
          <w:cols w:space="708"/>
          <w:formProt w:val="0"/>
          <w:docGrid w:linePitch="600" w:charSpace="32768"/>
        </w:sectPr>
      </w:pPr>
      <w:r>
        <w:rPr>
          <w:rFonts w:ascii="Century Gothic" w:hAnsi="Century Gothic"/>
          <w:sz w:val="22"/>
          <w:szCs w:val="22"/>
        </w:rPr>
        <w:t>címzetes főjegyző</w:t>
      </w:r>
    </w:p>
    <w:p w:rsidR="004637D4" w:rsidRPr="00376685" w:rsidRDefault="004637D4" w:rsidP="00376685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4637D4" w:rsidRPr="00376685" w:rsidRDefault="004637D4" w:rsidP="00376685">
      <w:pPr>
        <w:pStyle w:val="Szvegtrzs"/>
        <w:spacing w:after="0" w:line="240" w:lineRule="auto"/>
        <w:jc w:val="center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Végső előterjesztői indokolás</w:t>
      </w:r>
    </w:p>
    <w:p w:rsidR="004637D4" w:rsidRPr="00376685" w:rsidRDefault="004637D4" w:rsidP="00376685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A Magyarország helyi önkormányzatairól szóló 2011. évi CLXXXIX. törvény (továbbiakban: Mötv.) 44. §-ban értelmében „a képviselő-testület szükség szerint, a szervezeti és működési szabályzatban meghatározott számú, de évente legalább hat ülést tart. Az ülést tizenöt napon belüli időpontra össze kell hívni a települési képviselők egynegyedének, a képviselő-testület bizottságának, valamint a kormányhivatal vezetőjének a testületi ülés összehívásának indokát tartalmazó indítványára. Az indítvány alapján a testületi ülést a polgármester hívja össze a testületi ülés indokának, időpontjának, helyszínének és napirendjének meghatározásával.” </w:t>
      </w:r>
    </w:p>
    <w:p w:rsidR="004637D4" w:rsidRPr="00376685" w:rsidRDefault="004637D4" w:rsidP="00376685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A fenti rendelkezésből adódóan a rendkívüli képviselő-testületi ülés összehívására irányuló indítványnak –jogszabályi kötelezettségként- csak az összehívás indokát kell tartalmaznia, egyéb feltételeket nem (pl: írásos előterjesztés, napirendi pont meghatározása, napirendi pont előadója)</w:t>
      </w:r>
    </w:p>
    <w:p w:rsidR="004637D4" w:rsidRPr="00376685" w:rsidRDefault="004637D4" w:rsidP="00376685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376685">
        <w:rPr>
          <w:rFonts w:ascii="Century Gothic" w:hAnsi="Century Gothic"/>
          <w:sz w:val="22"/>
          <w:szCs w:val="22"/>
        </w:rPr>
        <w:t>A törvényesség biztosítása érdekében indokolttá vált az SZMSZ 14.§ (2) bekezdésében foglaltak újraszabályozása, melynek során  „a napirendi indítvány feltüntetésével, a hely és időpont megjelölésével, a meghívandók körére is kitérve” szabályozás mellőzésre került.</w:t>
      </w:r>
    </w:p>
    <w:p w:rsidR="004637D4" w:rsidRPr="00376685" w:rsidRDefault="004637D4" w:rsidP="00376685">
      <w:pPr>
        <w:jc w:val="both"/>
        <w:rPr>
          <w:rFonts w:ascii="Century Gothic" w:hAnsi="Century Gothic"/>
          <w:b/>
          <w:sz w:val="22"/>
          <w:szCs w:val="22"/>
        </w:rPr>
      </w:pPr>
    </w:p>
    <w:p w:rsidR="00552B1C" w:rsidRPr="00376685" w:rsidRDefault="00552B1C" w:rsidP="00376685">
      <w:pPr>
        <w:jc w:val="center"/>
        <w:rPr>
          <w:rFonts w:ascii="Century Gothic" w:hAnsi="Century Gothic"/>
          <w:b/>
          <w:sz w:val="22"/>
          <w:szCs w:val="22"/>
        </w:rPr>
      </w:pPr>
    </w:p>
    <w:p w:rsidR="00552B1C" w:rsidRPr="00376685" w:rsidRDefault="00552B1C" w:rsidP="00376685">
      <w:pPr>
        <w:jc w:val="center"/>
        <w:rPr>
          <w:rFonts w:ascii="Century Gothic" w:hAnsi="Century Gothic"/>
          <w:b/>
          <w:sz w:val="22"/>
          <w:szCs w:val="22"/>
        </w:rPr>
      </w:pPr>
    </w:p>
    <w:p w:rsidR="00552B1C" w:rsidRPr="00376685" w:rsidRDefault="00552B1C" w:rsidP="00376685">
      <w:pPr>
        <w:jc w:val="center"/>
        <w:rPr>
          <w:rFonts w:ascii="Century Gothic" w:hAnsi="Century Gothic"/>
          <w:b/>
          <w:sz w:val="22"/>
          <w:szCs w:val="22"/>
        </w:rPr>
      </w:pPr>
    </w:p>
    <w:p w:rsidR="00552B1C" w:rsidRPr="00376685" w:rsidRDefault="00552B1C" w:rsidP="00376685">
      <w:pPr>
        <w:jc w:val="center"/>
        <w:rPr>
          <w:rFonts w:ascii="Century Gothic" w:hAnsi="Century Gothic"/>
          <w:b/>
          <w:sz w:val="22"/>
          <w:szCs w:val="22"/>
        </w:rPr>
      </w:pPr>
    </w:p>
    <w:p w:rsidR="00552B1C" w:rsidRPr="00376685" w:rsidRDefault="00552B1C" w:rsidP="00376685">
      <w:pPr>
        <w:jc w:val="center"/>
        <w:rPr>
          <w:rFonts w:ascii="Century Gothic" w:hAnsi="Century Gothic"/>
          <w:b/>
          <w:sz w:val="22"/>
          <w:szCs w:val="22"/>
        </w:rPr>
      </w:pPr>
    </w:p>
    <w:p w:rsidR="000B6F1E" w:rsidRPr="00376685" w:rsidRDefault="000B6F1E" w:rsidP="00376685">
      <w:pPr>
        <w:rPr>
          <w:rFonts w:ascii="Century Gothic" w:hAnsi="Century Gothic"/>
          <w:sz w:val="22"/>
          <w:szCs w:val="22"/>
        </w:rPr>
      </w:pPr>
    </w:p>
    <w:sectPr w:rsidR="000B6F1E" w:rsidRPr="00376685" w:rsidSect="00DD7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32C" w:rsidRDefault="00D2632C" w:rsidP="00DD7369">
      <w:r>
        <w:separator/>
      </w:r>
    </w:p>
  </w:endnote>
  <w:endnote w:type="continuationSeparator" w:id="1">
    <w:p w:rsidR="00D2632C" w:rsidRDefault="00D2632C" w:rsidP="00DD7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507" w:rsidRDefault="00DD7369">
    <w:pPr>
      <w:pStyle w:val="llb1"/>
      <w:jc w:val="center"/>
    </w:pPr>
    <w:r>
      <w:fldChar w:fldCharType="begin"/>
    </w:r>
    <w:r w:rsidR="00D2632C">
      <w:instrText>PAGE</w:instrText>
    </w:r>
    <w:r>
      <w:fldChar w:fldCharType="separate"/>
    </w:r>
    <w:r w:rsidR="008E3BF9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32C" w:rsidRDefault="00D2632C" w:rsidP="00DD7369">
      <w:r>
        <w:separator/>
      </w:r>
    </w:p>
  </w:footnote>
  <w:footnote w:type="continuationSeparator" w:id="1">
    <w:p w:rsidR="00D2632C" w:rsidRDefault="00D2632C" w:rsidP="00DD73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B1C"/>
    <w:rsid w:val="000B6F1E"/>
    <w:rsid w:val="00376685"/>
    <w:rsid w:val="003C219B"/>
    <w:rsid w:val="004637D4"/>
    <w:rsid w:val="00552B1C"/>
    <w:rsid w:val="008E3BF9"/>
    <w:rsid w:val="00D2632C"/>
    <w:rsid w:val="00DD7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2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4637D4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4637D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llb1">
    <w:name w:val="Élőláb1"/>
    <w:basedOn w:val="Norml"/>
    <w:rsid w:val="004637D4"/>
    <w:pPr>
      <w:suppressLineNumbers/>
      <w:tabs>
        <w:tab w:val="center" w:pos="4819"/>
        <w:tab w:val="right" w:pos="9638"/>
      </w:tabs>
      <w:suppressAutoHyphens/>
    </w:pPr>
    <w:rPr>
      <w:rFonts w:eastAsia="Noto Sans CJK SC Regular" w:cs="FreeSans"/>
      <w:kern w:val="2"/>
      <w:lang w:eastAsia="zh-CN" w:bidi="hi-IN"/>
    </w:rPr>
  </w:style>
  <w:style w:type="character" w:styleId="Hiperhivatkozs">
    <w:name w:val="Hyperlink"/>
    <w:rsid w:val="00376685"/>
    <w:rPr>
      <w:color w:val="000080"/>
      <w:u w:val="single"/>
    </w:rPr>
  </w:style>
  <w:style w:type="paragraph" w:styleId="Listaszerbekezds">
    <w:name w:val="List Paragraph"/>
    <w:basedOn w:val="Norml"/>
    <w:uiPriority w:val="34"/>
    <w:qFormat/>
    <w:rsid w:val="0037668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703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user@user.eu</dc:creator>
  <cp:lastModifiedBy>User</cp:lastModifiedBy>
  <cp:revision>2</cp:revision>
  <dcterms:created xsi:type="dcterms:W3CDTF">2021-11-23T08:24:00Z</dcterms:created>
  <dcterms:modified xsi:type="dcterms:W3CDTF">2021-11-23T08:24:00Z</dcterms:modified>
</cp:coreProperties>
</file>