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A74" w:rsidRDefault="00BF0A74" w:rsidP="008228EE">
      <w:pPr>
        <w:jc w:val="both"/>
        <w:rPr>
          <w:rFonts w:ascii="Century Gothic" w:hAnsi="Century Gothic"/>
          <w:sz w:val="20"/>
          <w:szCs w:val="20"/>
        </w:rPr>
      </w:pPr>
    </w:p>
    <w:p w:rsidR="00992C7B" w:rsidRDefault="00992C7B" w:rsidP="00992C7B">
      <w:pPr>
        <w:pStyle w:val="Cmsor11"/>
        <w:spacing w:before="23"/>
        <w:ind w:right="-20"/>
        <w:jc w:val="center"/>
        <w:rPr>
          <w:rFonts w:ascii="Century Gothic" w:hAnsi="Century Gothic"/>
          <w:sz w:val="72"/>
          <w:szCs w:val="72"/>
          <w:lang w:val="hu-HU"/>
        </w:rPr>
      </w:pPr>
    </w:p>
    <w:p w:rsidR="00992C7B" w:rsidRDefault="00992C7B" w:rsidP="00992C7B">
      <w:pPr>
        <w:pStyle w:val="Cmsor11"/>
        <w:spacing w:before="23"/>
        <w:ind w:right="-20"/>
        <w:jc w:val="center"/>
        <w:rPr>
          <w:rFonts w:ascii="Century Gothic" w:hAnsi="Century Gothic"/>
          <w:sz w:val="72"/>
          <w:szCs w:val="72"/>
          <w:lang w:val="hu-HU"/>
        </w:rPr>
      </w:pPr>
      <w:r w:rsidRPr="003D4DA2">
        <w:rPr>
          <w:rFonts w:ascii="Cambria" w:hAnsi="Cambria"/>
          <w:noProof/>
          <w:lang w:val="hu-HU" w:eastAsia="hu-HU"/>
        </w:rPr>
        <w:drawing>
          <wp:inline distT="0" distB="0" distL="0" distR="0">
            <wp:extent cx="1095375" cy="1257300"/>
            <wp:effectExtent l="0" t="0" r="9525" b="0"/>
            <wp:docPr id="1" name="Kép 1"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95375" cy="1257300"/>
                    </a:xfrm>
                    <a:prstGeom prst="rect">
                      <a:avLst/>
                    </a:prstGeom>
                    <a:noFill/>
                    <a:ln>
                      <a:noFill/>
                    </a:ln>
                  </pic:spPr>
                </pic:pic>
              </a:graphicData>
            </a:graphic>
          </wp:inline>
        </w:drawing>
      </w:r>
    </w:p>
    <w:p w:rsidR="00992C7B" w:rsidRDefault="00992C7B" w:rsidP="00992C7B">
      <w:pPr>
        <w:pStyle w:val="Cmsor11"/>
        <w:spacing w:before="23"/>
        <w:ind w:right="-20"/>
        <w:jc w:val="center"/>
        <w:rPr>
          <w:rFonts w:ascii="Century Gothic" w:hAnsi="Century Gothic"/>
          <w:sz w:val="72"/>
          <w:szCs w:val="72"/>
          <w:lang w:val="hu-HU"/>
        </w:rPr>
      </w:pPr>
    </w:p>
    <w:p w:rsidR="00992C7B" w:rsidRPr="00F4426F" w:rsidRDefault="00992C7B" w:rsidP="00992C7B">
      <w:pPr>
        <w:pStyle w:val="Cmsor11"/>
        <w:spacing w:before="23"/>
        <w:ind w:right="-20"/>
        <w:jc w:val="center"/>
        <w:rPr>
          <w:rFonts w:ascii="Century Gothic" w:hAnsi="Century Gothic"/>
          <w:sz w:val="72"/>
          <w:szCs w:val="72"/>
          <w:lang w:val="hu-HU"/>
        </w:rPr>
      </w:pPr>
      <w:r w:rsidRPr="00F4426F">
        <w:rPr>
          <w:rFonts w:ascii="Century Gothic" w:hAnsi="Century Gothic"/>
          <w:sz w:val="72"/>
          <w:szCs w:val="72"/>
          <w:lang w:val="hu-HU"/>
        </w:rPr>
        <w:t>ELŐTERJESZTÉS</w:t>
      </w:r>
    </w:p>
    <w:p w:rsidR="00992C7B" w:rsidRPr="00F4426F" w:rsidRDefault="00992C7B" w:rsidP="00992C7B">
      <w:pPr>
        <w:pStyle w:val="Cmsor11"/>
        <w:spacing w:before="23"/>
        <w:ind w:right="-20"/>
        <w:jc w:val="center"/>
        <w:rPr>
          <w:rFonts w:ascii="Century Gothic" w:hAnsi="Century Gothic"/>
          <w:sz w:val="36"/>
          <w:szCs w:val="36"/>
          <w:lang w:val="hu-HU"/>
        </w:rPr>
      </w:pPr>
    </w:p>
    <w:p w:rsidR="00992C7B" w:rsidRPr="00F4426F" w:rsidRDefault="00992C7B" w:rsidP="00992C7B">
      <w:pPr>
        <w:pStyle w:val="Cmsor11"/>
        <w:spacing w:before="23"/>
        <w:ind w:right="-20"/>
        <w:jc w:val="center"/>
        <w:rPr>
          <w:rFonts w:ascii="Century Gothic" w:hAnsi="Century Gothic"/>
          <w:sz w:val="36"/>
          <w:szCs w:val="36"/>
          <w:lang w:val="hu-HU"/>
        </w:rPr>
      </w:pPr>
    </w:p>
    <w:p w:rsidR="00992C7B" w:rsidRDefault="00992C7B" w:rsidP="00992C7B">
      <w:pPr>
        <w:pStyle w:val="Cmsor11"/>
        <w:spacing w:before="23"/>
        <w:ind w:right="-20"/>
        <w:jc w:val="center"/>
        <w:rPr>
          <w:rFonts w:ascii="Century Gothic" w:hAnsi="Century Gothic"/>
          <w:sz w:val="44"/>
          <w:szCs w:val="44"/>
          <w:lang w:val="hu-HU"/>
        </w:rPr>
      </w:pPr>
      <w:r w:rsidRPr="00F4426F">
        <w:rPr>
          <w:rFonts w:ascii="Century Gothic" w:hAnsi="Century Gothic"/>
          <w:sz w:val="44"/>
          <w:szCs w:val="44"/>
          <w:lang w:val="hu-HU"/>
        </w:rPr>
        <w:t>BALATONBERÉNY KÖZSÉG ÖNKORMÁNYZATI KÉPVISELŐ-TESTÜLETE</w:t>
      </w:r>
    </w:p>
    <w:p w:rsidR="00992C7B" w:rsidRPr="00992C7B" w:rsidRDefault="00992C7B" w:rsidP="00992C7B">
      <w:pPr>
        <w:pStyle w:val="Cmsor11"/>
        <w:spacing w:before="23"/>
        <w:ind w:right="-20"/>
        <w:jc w:val="center"/>
        <w:rPr>
          <w:rFonts w:ascii="Century Gothic" w:hAnsi="Century Gothic"/>
          <w:sz w:val="32"/>
          <w:szCs w:val="32"/>
          <w:lang w:val="hu-HU"/>
        </w:rPr>
      </w:pPr>
      <w:r w:rsidRPr="00992C7B">
        <w:rPr>
          <w:rFonts w:ascii="Century Gothic" w:hAnsi="Century Gothic"/>
          <w:sz w:val="32"/>
          <w:szCs w:val="32"/>
          <w:lang w:val="hu-HU"/>
        </w:rPr>
        <w:t xml:space="preserve">Pénzügyi, Településfejlesztési, Környezetvédelmi és Idegenforgalmi Bizottsága </w:t>
      </w:r>
    </w:p>
    <w:p w:rsidR="00992C7B" w:rsidRPr="00F4426F" w:rsidRDefault="00992C7B" w:rsidP="00992C7B">
      <w:pPr>
        <w:pStyle w:val="Cmsor11"/>
        <w:spacing w:before="23"/>
        <w:ind w:right="-20"/>
        <w:rPr>
          <w:rFonts w:ascii="Century Gothic" w:hAnsi="Century Gothic"/>
          <w:sz w:val="44"/>
          <w:szCs w:val="44"/>
          <w:lang w:val="hu-HU"/>
        </w:rPr>
      </w:pPr>
    </w:p>
    <w:p w:rsidR="00992C7B" w:rsidRPr="00F4426F" w:rsidRDefault="00992C7B" w:rsidP="00992C7B">
      <w:pPr>
        <w:pStyle w:val="Cmsor11"/>
        <w:spacing w:before="23"/>
        <w:ind w:right="-20"/>
        <w:jc w:val="center"/>
        <w:rPr>
          <w:rFonts w:ascii="Century Gothic" w:hAnsi="Century Gothic"/>
          <w:sz w:val="44"/>
          <w:szCs w:val="44"/>
          <w:lang w:val="hu-HU"/>
        </w:rPr>
      </w:pPr>
      <w:r>
        <w:rPr>
          <w:rFonts w:ascii="Century Gothic" w:hAnsi="Century Gothic"/>
          <w:sz w:val="44"/>
          <w:szCs w:val="44"/>
          <w:lang w:val="hu-HU"/>
        </w:rPr>
        <w:t xml:space="preserve">2021. augusztus 24-ei </w:t>
      </w:r>
      <w:r w:rsidRPr="00F4426F">
        <w:rPr>
          <w:rFonts w:ascii="Century Gothic" w:hAnsi="Century Gothic"/>
          <w:sz w:val="44"/>
          <w:szCs w:val="44"/>
          <w:lang w:val="hu-HU"/>
        </w:rPr>
        <w:t>nyilvános</w:t>
      </w:r>
    </w:p>
    <w:p w:rsidR="00992C7B" w:rsidRPr="00F4426F" w:rsidRDefault="00992C7B" w:rsidP="00992C7B">
      <w:pPr>
        <w:pStyle w:val="Cmsor11"/>
        <w:spacing w:before="23"/>
        <w:ind w:right="-20"/>
        <w:jc w:val="center"/>
        <w:rPr>
          <w:rFonts w:ascii="Century Gothic" w:hAnsi="Century Gothic"/>
          <w:sz w:val="44"/>
          <w:szCs w:val="44"/>
          <w:lang w:val="hu-HU"/>
        </w:rPr>
      </w:pPr>
      <w:r w:rsidRPr="00F4426F">
        <w:rPr>
          <w:rFonts w:ascii="Century Gothic" w:hAnsi="Century Gothic"/>
          <w:sz w:val="44"/>
          <w:szCs w:val="44"/>
          <w:lang w:val="hu-HU"/>
        </w:rPr>
        <w:t>ülésére</w:t>
      </w:r>
    </w:p>
    <w:p w:rsidR="00992C7B" w:rsidRPr="00F4426F" w:rsidRDefault="00992C7B" w:rsidP="00992C7B">
      <w:pPr>
        <w:pStyle w:val="Cmsor11"/>
        <w:spacing w:before="23"/>
        <w:ind w:right="-20"/>
        <w:rPr>
          <w:rFonts w:ascii="Century Gothic" w:hAnsi="Century Gothic"/>
          <w:sz w:val="44"/>
          <w:szCs w:val="44"/>
          <w:lang w:val="hu-HU"/>
        </w:rPr>
      </w:pPr>
    </w:p>
    <w:p w:rsidR="00992C7B" w:rsidRDefault="00992C7B" w:rsidP="00992C7B">
      <w:pPr>
        <w:pStyle w:val="Cmsor11"/>
        <w:spacing w:line="242" w:lineRule="auto"/>
        <w:ind w:left="137" w:right="92"/>
        <w:jc w:val="center"/>
        <w:rPr>
          <w:rFonts w:ascii="Century Gothic" w:hAnsi="Century Gothic"/>
          <w:spacing w:val="-2"/>
          <w:sz w:val="44"/>
          <w:szCs w:val="44"/>
          <w:lang w:val="hu-HU"/>
        </w:rPr>
      </w:pPr>
      <w:r w:rsidRPr="00F4426F">
        <w:rPr>
          <w:rFonts w:ascii="Century Gothic" w:hAnsi="Century Gothic"/>
          <w:spacing w:val="-1"/>
          <w:sz w:val="44"/>
          <w:szCs w:val="44"/>
          <w:lang w:val="hu-HU"/>
        </w:rPr>
        <w:t>T</w:t>
      </w:r>
      <w:r w:rsidRPr="00F4426F">
        <w:rPr>
          <w:rFonts w:ascii="Century Gothic" w:hAnsi="Century Gothic"/>
          <w:spacing w:val="2"/>
          <w:sz w:val="44"/>
          <w:szCs w:val="44"/>
          <w:lang w:val="hu-HU"/>
        </w:rPr>
        <w:t>á</w:t>
      </w:r>
      <w:r w:rsidRPr="00F4426F">
        <w:rPr>
          <w:rFonts w:ascii="Century Gothic" w:hAnsi="Century Gothic"/>
          <w:sz w:val="44"/>
          <w:szCs w:val="44"/>
          <w:lang w:val="hu-HU"/>
        </w:rPr>
        <w:t>rg</w:t>
      </w:r>
      <w:r w:rsidRPr="00F4426F">
        <w:rPr>
          <w:rFonts w:ascii="Century Gothic" w:hAnsi="Century Gothic"/>
          <w:spacing w:val="-2"/>
          <w:sz w:val="44"/>
          <w:szCs w:val="44"/>
          <w:lang w:val="hu-HU"/>
        </w:rPr>
        <w:t>y:</w:t>
      </w:r>
    </w:p>
    <w:p w:rsidR="00992C7B" w:rsidRPr="00F4426F" w:rsidRDefault="00992C7B" w:rsidP="00992C7B">
      <w:pPr>
        <w:pStyle w:val="Cmsor11"/>
        <w:spacing w:line="242" w:lineRule="auto"/>
        <w:ind w:left="137" w:right="92"/>
        <w:jc w:val="center"/>
        <w:rPr>
          <w:rFonts w:ascii="Century Gothic" w:hAnsi="Century Gothic"/>
          <w:spacing w:val="-2"/>
          <w:sz w:val="44"/>
          <w:szCs w:val="44"/>
          <w:lang w:val="hu-HU"/>
        </w:rPr>
      </w:pPr>
      <w:r>
        <w:rPr>
          <w:rFonts w:ascii="Century Gothic" w:hAnsi="Century Gothic"/>
          <w:spacing w:val="-2"/>
          <w:sz w:val="44"/>
          <w:szCs w:val="44"/>
          <w:lang w:val="hu-HU"/>
        </w:rPr>
        <w:t xml:space="preserve">Helyi adókról szóló önkormányzati rendelet felülvizsgálata </w:t>
      </w:r>
    </w:p>
    <w:p w:rsidR="00992C7B" w:rsidRDefault="00992C7B" w:rsidP="00992C7B">
      <w:pPr>
        <w:pStyle w:val="Cmsor11"/>
        <w:spacing w:before="23"/>
        <w:ind w:right="-20"/>
        <w:rPr>
          <w:rFonts w:ascii="Century Gothic" w:hAnsi="Century Gothic"/>
          <w:sz w:val="40"/>
          <w:szCs w:val="40"/>
          <w:lang w:val="hu-HU"/>
        </w:rPr>
      </w:pPr>
    </w:p>
    <w:p w:rsidR="00992C7B" w:rsidRPr="00992C7B" w:rsidRDefault="00992C7B" w:rsidP="00992C7B">
      <w:pPr>
        <w:pStyle w:val="Cmsor11"/>
        <w:spacing w:before="23"/>
        <w:ind w:right="-20"/>
        <w:jc w:val="center"/>
        <w:rPr>
          <w:rFonts w:ascii="Century Gothic" w:hAnsi="Century Gothic"/>
          <w:sz w:val="28"/>
          <w:szCs w:val="28"/>
          <w:lang w:val="hu-HU"/>
        </w:rPr>
      </w:pPr>
      <w:r w:rsidRPr="00992C7B">
        <w:rPr>
          <w:rFonts w:ascii="Century Gothic" w:hAnsi="Century Gothic"/>
          <w:sz w:val="28"/>
          <w:szCs w:val="28"/>
          <w:lang w:val="hu-HU"/>
        </w:rPr>
        <w:t xml:space="preserve">Előadó: </w:t>
      </w:r>
    </w:p>
    <w:p w:rsidR="00992C7B" w:rsidRPr="00992C7B" w:rsidRDefault="00992C7B" w:rsidP="00992C7B">
      <w:pPr>
        <w:spacing w:after="0" w:line="240" w:lineRule="auto"/>
        <w:jc w:val="center"/>
        <w:rPr>
          <w:rFonts w:ascii="Century Gothic" w:hAnsi="Century Gothic"/>
          <w:sz w:val="28"/>
          <w:szCs w:val="28"/>
        </w:rPr>
      </w:pPr>
      <w:r w:rsidRPr="00992C7B">
        <w:rPr>
          <w:rFonts w:ascii="Century Gothic" w:hAnsi="Century Gothic"/>
          <w:sz w:val="28"/>
          <w:szCs w:val="28"/>
        </w:rPr>
        <w:t>Mestyán Valéria</w:t>
      </w:r>
    </w:p>
    <w:p w:rsidR="00992C7B" w:rsidRPr="00992C7B" w:rsidRDefault="00992C7B" w:rsidP="00992C7B">
      <w:pPr>
        <w:spacing w:after="0" w:line="240" w:lineRule="auto"/>
        <w:jc w:val="center"/>
        <w:rPr>
          <w:rFonts w:ascii="Century Gothic" w:hAnsi="Century Gothic"/>
          <w:sz w:val="28"/>
          <w:szCs w:val="28"/>
        </w:rPr>
      </w:pPr>
      <w:r w:rsidRPr="00992C7B">
        <w:rPr>
          <w:rFonts w:ascii="Century Gothic" w:hAnsi="Century Gothic"/>
          <w:sz w:val="28"/>
          <w:szCs w:val="28"/>
        </w:rPr>
        <w:t>címzetes főjegyző</w:t>
      </w:r>
    </w:p>
    <w:p w:rsidR="00992C7B" w:rsidRPr="00992C7B" w:rsidRDefault="00992C7B" w:rsidP="00992C7B">
      <w:pPr>
        <w:spacing w:after="0" w:line="240" w:lineRule="auto"/>
        <w:jc w:val="center"/>
        <w:rPr>
          <w:rFonts w:ascii="Century Gothic" w:hAnsi="Century Gothic"/>
          <w:sz w:val="28"/>
          <w:szCs w:val="28"/>
        </w:rPr>
      </w:pPr>
    </w:p>
    <w:p w:rsidR="00992C7B" w:rsidRPr="00992C7B" w:rsidRDefault="00992C7B" w:rsidP="00992C7B">
      <w:pPr>
        <w:spacing w:after="0" w:line="240" w:lineRule="auto"/>
        <w:jc w:val="center"/>
        <w:rPr>
          <w:rFonts w:ascii="Century Gothic" w:hAnsi="Century Gothic"/>
          <w:sz w:val="28"/>
          <w:szCs w:val="28"/>
        </w:rPr>
      </w:pPr>
      <w:r w:rsidRPr="00992C7B">
        <w:rPr>
          <w:rFonts w:ascii="Century Gothic" w:hAnsi="Century Gothic"/>
          <w:sz w:val="28"/>
          <w:szCs w:val="28"/>
        </w:rPr>
        <w:t>Darvas Elemér</w:t>
      </w:r>
    </w:p>
    <w:p w:rsidR="00BF0A74" w:rsidRPr="00992C7B" w:rsidRDefault="00992C7B" w:rsidP="00992C7B">
      <w:pPr>
        <w:spacing w:after="0" w:line="240" w:lineRule="auto"/>
        <w:jc w:val="center"/>
        <w:rPr>
          <w:rFonts w:ascii="Century Gothic" w:hAnsi="Century Gothic"/>
          <w:sz w:val="28"/>
          <w:szCs w:val="28"/>
        </w:rPr>
      </w:pPr>
      <w:r w:rsidRPr="00992C7B">
        <w:rPr>
          <w:rFonts w:ascii="Century Gothic" w:hAnsi="Century Gothic"/>
          <w:sz w:val="28"/>
          <w:szCs w:val="28"/>
        </w:rPr>
        <w:t>adóügyi főmunkatárs</w:t>
      </w:r>
    </w:p>
    <w:p w:rsidR="006639FA" w:rsidRPr="00B77BD0" w:rsidRDefault="008228EE" w:rsidP="008228EE">
      <w:pPr>
        <w:jc w:val="both"/>
        <w:rPr>
          <w:rFonts w:ascii="Century Gothic" w:hAnsi="Century Gothic"/>
        </w:rPr>
      </w:pPr>
      <w:r w:rsidRPr="00B77BD0">
        <w:rPr>
          <w:rFonts w:ascii="Century Gothic" w:hAnsi="Century Gothic"/>
        </w:rPr>
        <w:t>Tisztelt</w:t>
      </w:r>
      <w:r w:rsidR="00BF0A74" w:rsidRPr="00B77BD0">
        <w:rPr>
          <w:rFonts w:ascii="Century Gothic" w:hAnsi="Century Gothic"/>
        </w:rPr>
        <w:t xml:space="preserve"> Bizottság!</w:t>
      </w:r>
    </w:p>
    <w:p w:rsidR="00BF0A74" w:rsidRPr="00B77BD0" w:rsidRDefault="00992C7B" w:rsidP="002E2502">
      <w:pPr>
        <w:pStyle w:val="Cmsor1"/>
        <w:jc w:val="both"/>
        <w:rPr>
          <w:rFonts w:ascii="Century Gothic" w:hAnsi="Century Gothic"/>
          <w:b w:val="0"/>
          <w:sz w:val="22"/>
          <w:szCs w:val="22"/>
        </w:rPr>
      </w:pPr>
      <w:r>
        <w:rPr>
          <w:rFonts w:ascii="Century Gothic" w:hAnsi="Century Gothic"/>
          <w:b w:val="0"/>
          <w:sz w:val="22"/>
          <w:szCs w:val="22"/>
        </w:rPr>
        <w:t>Az felülvizsgálatot előkészítő vita</w:t>
      </w:r>
      <w:r w:rsidR="00472DA5" w:rsidRPr="00B77BD0">
        <w:rPr>
          <w:rFonts w:ascii="Century Gothic" w:hAnsi="Century Gothic"/>
          <w:b w:val="0"/>
          <w:sz w:val="22"/>
          <w:szCs w:val="22"/>
        </w:rPr>
        <w:t xml:space="preserve">anyag lehet, hogy most túl soknak tűnik, de több olyan felvetésre is választ ad Önök számára, amely segítséget nyújt a helyi adóztatással kapcsolatos elméleti és gyakorlati kérdések tárgyalása során. </w:t>
      </w:r>
      <w:r w:rsidR="00BF0A74" w:rsidRPr="00B77BD0">
        <w:rPr>
          <w:rFonts w:ascii="Century Gothic" w:hAnsi="Century Gothic"/>
          <w:b w:val="0"/>
          <w:sz w:val="22"/>
          <w:szCs w:val="22"/>
        </w:rPr>
        <w:t>Javaslatunk, hogy a PTKI Bizottság tárgyalja meg részleteiben a helyi adórendelet felülvizsgálatával kapcsolatos napirendet, és az elhangzott javaslatok, felvetések alapján következő tárgyalás sorozatban (szeptemberben) kerüljön testületi I. körös tárgyalásra.</w:t>
      </w:r>
    </w:p>
    <w:p w:rsidR="00BF0A74" w:rsidRPr="00B77BD0" w:rsidRDefault="00BF0A74" w:rsidP="002E2502">
      <w:pPr>
        <w:pStyle w:val="Cmsor1"/>
        <w:jc w:val="both"/>
        <w:rPr>
          <w:rFonts w:ascii="Century Gothic" w:hAnsi="Century Gothic"/>
          <w:b w:val="0"/>
          <w:sz w:val="22"/>
          <w:szCs w:val="22"/>
        </w:rPr>
      </w:pPr>
      <w:r w:rsidRPr="00B77BD0">
        <w:rPr>
          <w:rFonts w:ascii="Century Gothic" w:hAnsi="Century Gothic"/>
          <w:b w:val="0"/>
          <w:sz w:val="22"/>
          <w:szCs w:val="22"/>
        </w:rPr>
        <w:t>Balatonberény Község Önkormányzat Képviselő-testülete jelenleg hatályos helyi adókról szóló önkormányzati rendelete a 14/2017. (XII.1.) rendelet.</w:t>
      </w:r>
    </w:p>
    <w:p w:rsidR="00863159" w:rsidRPr="00B77BD0" w:rsidRDefault="00863159" w:rsidP="002E2502">
      <w:pPr>
        <w:pStyle w:val="Cmsor1"/>
        <w:jc w:val="both"/>
        <w:rPr>
          <w:rFonts w:ascii="Century Gothic" w:hAnsi="Century Gothic"/>
          <w:b w:val="0"/>
          <w:sz w:val="22"/>
          <w:szCs w:val="22"/>
        </w:rPr>
      </w:pPr>
      <w:r w:rsidRPr="00B77BD0">
        <w:rPr>
          <w:rFonts w:ascii="Century Gothic" w:hAnsi="Century Gothic"/>
          <w:b w:val="0"/>
          <w:sz w:val="22"/>
          <w:szCs w:val="22"/>
        </w:rPr>
        <w:t xml:space="preserve">Az önkormányzatiság óta él a település önkormányzata a helyi adóztatás lehetőségével. </w:t>
      </w:r>
    </w:p>
    <w:p w:rsidR="00863159" w:rsidRPr="00B77BD0" w:rsidRDefault="00863159" w:rsidP="002E2502">
      <w:pPr>
        <w:pStyle w:val="Cmsor1"/>
        <w:jc w:val="both"/>
        <w:rPr>
          <w:rFonts w:ascii="Century Gothic" w:hAnsi="Century Gothic"/>
          <w:b w:val="0"/>
          <w:sz w:val="22"/>
          <w:szCs w:val="22"/>
        </w:rPr>
      </w:pPr>
      <w:r w:rsidRPr="00B77BD0">
        <w:rPr>
          <w:rFonts w:ascii="Century Gothic" w:hAnsi="Century Gothic"/>
          <w:b w:val="0"/>
          <w:sz w:val="22"/>
          <w:szCs w:val="22"/>
        </w:rPr>
        <w:t xml:space="preserve">Az elmúlt évtizedekben, jogszabályi környezet, a település gazdasági helyzete miatt e rendelet – mint az élet más területén </w:t>
      </w:r>
      <w:r w:rsidR="0058100A" w:rsidRPr="00B77BD0">
        <w:rPr>
          <w:rFonts w:ascii="Century Gothic" w:hAnsi="Century Gothic"/>
          <w:b w:val="0"/>
          <w:sz w:val="22"/>
          <w:szCs w:val="22"/>
        </w:rPr>
        <w:t>is –</w:t>
      </w:r>
      <w:r w:rsidRPr="00B77BD0">
        <w:rPr>
          <w:rFonts w:ascii="Century Gothic" w:hAnsi="Century Gothic"/>
          <w:b w:val="0"/>
          <w:sz w:val="22"/>
          <w:szCs w:val="22"/>
        </w:rPr>
        <w:t xml:space="preserve"> több változáson esett át.</w:t>
      </w:r>
    </w:p>
    <w:p w:rsidR="00863159" w:rsidRPr="00B77BD0" w:rsidRDefault="00863159" w:rsidP="002E2502">
      <w:pPr>
        <w:pStyle w:val="Cmsor1"/>
        <w:jc w:val="both"/>
        <w:rPr>
          <w:rFonts w:ascii="Century Gothic" w:hAnsi="Century Gothic"/>
          <w:b w:val="0"/>
          <w:sz w:val="22"/>
          <w:szCs w:val="22"/>
        </w:rPr>
      </w:pPr>
      <w:r w:rsidRPr="00B77BD0">
        <w:rPr>
          <w:rFonts w:ascii="Century Gothic" w:hAnsi="Century Gothic"/>
          <w:b w:val="0"/>
          <w:sz w:val="22"/>
          <w:szCs w:val="22"/>
        </w:rPr>
        <w:t>2013. évben a Kúria Önkorm</w:t>
      </w:r>
      <w:r w:rsidR="000C58B7" w:rsidRPr="00B77BD0">
        <w:rPr>
          <w:rFonts w:ascii="Century Gothic" w:hAnsi="Century Gothic"/>
          <w:b w:val="0"/>
          <w:sz w:val="22"/>
          <w:szCs w:val="22"/>
        </w:rPr>
        <w:t>ányzati Tanácsa Köf. 5076/2012/</w:t>
      </w:r>
      <w:r w:rsidRPr="00B77BD0">
        <w:rPr>
          <w:rFonts w:ascii="Century Gothic" w:hAnsi="Century Gothic"/>
          <w:b w:val="0"/>
          <w:sz w:val="22"/>
          <w:szCs w:val="22"/>
        </w:rPr>
        <w:t xml:space="preserve">4. számú határozatával </w:t>
      </w:r>
      <w:r w:rsidR="000C58B7" w:rsidRPr="00B77BD0">
        <w:rPr>
          <w:rFonts w:ascii="Century Gothic" w:hAnsi="Century Gothic"/>
          <w:b w:val="0"/>
          <w:sz w:val="22"/>
          <w:szCs w:val="22"/>
        </w:rPr>
        <w:t>a helyi adókról szóló önkormányzati rendeletek felülvizsgálati hulláma indult el az országban, így Somogy megyében is.</w:t>
      </w:r>
    </w:p>
    <w:p w:rsidR="000C58B7" w:rsidRPr="00B77BD0" w:rsidRDefault="0058100A" w:rsidP="002E2502">
      <w:pPr>
        <w:pStyle w:val="Cmsor1"/>
        <w:jc w:val="both"/>
        <w:rPr>
          <w:rFonts w:ascii="Century Gothic" w:hAnsi="Century Gothic"/>
          <w:b w:val="0"/>
          <w:sz w:val="22"/>
          <w:szCs w:val="22"/>
        </w:rPr>
      </w:pPr>
      <w:r w:rsidRPr="00B77BD0">
        <w:rPr>
          <w:rFonts w:ascii="Century Gothic" w:hAnsi="Century Gothic"/>
          <w:b w:val="0"/>
          <w:sz w:val="22"/>
          <w:szCs w:val="22"/>
        </w:rPr>
        <w:t>Ez volt</w:t>
      </w:r>
      <w:r w:rsidR="000C58B7" w:rsidRPr="00B77BD0">
        <w:rPr>
          <w:rFonts w:ascii="Century Gothic" w:hAnsi="Century Gothic"/>
          <w:b w:val="0"/>
          <w:sz w:val="22"/>
          <w:szCs w:val="22"/>
        </w:rPr>
        <w:t xml:space="preserve"> az un. életvitelszerűség és az állandó lakóhely létesítés </w:t>
      </w:r>
      <w:r w:rsidR="008079E6" w:rsidRPr="00B77BD0">
        <w:rPr>
          <w:rFonts w:ascii="Century Gothic" w:hAnsi="Century Gothic"/>
          <w:b w:val="0"/>
          <w:sz w:val="22"/>
          <w:szCs w:val="22"/>
        </w:rPr>
        <w:t xml:space="preserve"> együttes alkalmazásának, előírásának probléma köre. Tehát a mentesség feltétele nem a lakcímnyilvántartásba történő bejegyzés, hanem a lakásingatlan tényleges használata lehet. </w:t>
      </w:r>
    </w:p>
    <w:p w:rsidR="00EC693A" w:rsidRPr="00B77BD0" w:rsidRDefault="00EC693A" w:rsidP="002E2502">
      <w:pPr>
        <w:pStyle w:val="Cmsor1"/>
        <w:jc w:val="both"/>
        <w:rPr>
          <w:rFonts w:ascii="Century Gothic" w:hAnsi="Century Gothic"/>
          <w:b w:val="0"/>
          <w:sz w:val="22"/>
          <w:szCs w:val="22"/>
        </w:rPr>
      </w:pPr>
      <w:r w:rsidRPr="00B77BD0">
        <w:rPr>
          <w:rFonts w:ascii="Century Gothic" w:hAnsi="Century Gothic"/>
          <w:b w:val="0"/>
          <w:sz w:val="22"/>
          <w:szCs w:val="22"/>
        </w:rPr>
        <w:t xml:space="preserve">Jelenlegi szabályozásunk: </w:t>
      </w:r>
    </w:p>
    <w:p w:rsidR="00EC693A" w:rsidRPr="00B77BD0" w:rsidRDefault="002E2502" w:rsidP="002E2502">
      <w:pPr>
        <w:spacing w:before="100" w:beforeAutospacing="1" w:after="100" w:afterAutospacing="1" w:line="240" w:lineRule="auto"/>
        <w:jc w:val="both"/>
        <w:rPr>
          <w:rFonts w:ascii="Century Gothic" w:eastAsia="Times New Roman" w:hAnsi="Century Gothic" w:cs="Times New Roman"/>
          <w:lang w:eastAsia="hu-HU"/>
        </w:rPr>
      </w:pPr>
      <w:r w:rsidRPr="00B77BD0">
        <w:rPr>
          <w:rFonts w:ascii="Century Gothic" w:eastAsia="Times New Roman" w:hAnsi="Century Gothic" w:cs="Times New Roman"/>
          <w:lang w:eastAsia="hu-HU"/>
        </w:rPr>
        <w:t>„</w:t>
      </w:r>
      <w:r w:rsidR="00EC693A" w:rsidRPr="00B77BD0">
        <w:rPr>
          <w:rFonts w:ascii="Century Gothic" w:eastAsia="Times New Roman" w:hAnsi="Century Gothic" w:cs="Times New Roman"/>
          <w:lang w:eastAsia="hu-HU"/>
        </w:rPr>
        <w:t>Életvitelszerű lakóhely: Amennyiben a természetes személy adózó az adóhatóság felé bejelentett lakását, üdülőjét otthonául használja, és ebből az ingatlanból szervezi az életét, családi élete helyszínéül szolgál, rendszeresen innen indul munkába vagy oktatási intézménybe, ide tér haza.</w:t>
      </w:r>
    </w:p>
    <w:p w:rsidR="00EC693A" w:rsidRPr="00B77BD0" w:rsidRDefault="00EC693A" w:rsidP="002E2502">
      <w:pPr>
        <w:spacing w:before="100" w:beforeAutospacing="1" w:after="100" w:afterAutospacing="1" w:line="240" w:lineRule="auto"/>
        <w:jc w:val="both"/>
        <w:rPr>
          <w:rFonts w:ascii="Century Gothic" w:eastAsia="Times New Roman" w:hAnsi="Century Gothic" w:cs="Times New Roman"/>
          <w:lang w:eastAsia="hu-HU"/>
        </w:rPr>
      </w:pPr>
      <w:r w:rsidRPr="00B77BD0">
        <w:rPr>
          <w:rFonts w:ascii="Century Gothic" w:eastAsia="Times New Roman" w:hAnsi="Century Gothic" w:cs="Times New Roman"/>
          <w:lang w:eastAsia="hu-HU"/>
        </w:rPr>
        <w:t>A lakás, üdülő vonatkozásában az év minden hónapjában közüzemi szolgáltatásokat vesz igénybe.</w:t>
      </w:r>
    </w:p>
    <w:p w:rsidR="00EC693A" w:rsidRPr="00B77BD0" w:rsidRDefault="00EC693A" w:rsidP="002E2502">
      <w:pPr>
        <w:spacing w:before="100" w:beforeAutospacing="1" w:after="100" w:afterAutospacing="1" w:line="240" w:lineRule="auto"/>
        <w:jc w:val="both"/>
        <w:rPr>
          <w:rFonts w:ascii="Century Gothic" w:eastAsia="Times New Roman" w:hAnsi="Century Gothic" w:cs="Times New Roman"/>
          <w:lang w:eastAsia="hu-HU"/>
        </w:rPr>
      </w:pPr>
      <w:r w:rsidRPr="00B77BD0">
        <w:rPr>
          <w:rFonts w:ascii="Century Gothic" w:eastAsia="Times New Roman" w:hAnsi="Century Gothic" w:cs="Times New Roman"/>
          <w:lang w:eastAsia="hu-HU"/>
        </w:rPr>
        <w:t xml:space="preserve">A lakás, üdülő ingatlan-nyilvántartás szerinti címe szerepel elsődleges elérési címeként a hatóságoknál, közműszolgáltatóknál, és a magánszemély adózó nem rendelkezik más olyan lakással, üdülővel melyet életvitelszerűen használ és ezt a tényt, valamint az adótárgyként megadott lakás, üdülő életvitelszerű használatának tényét az adóhatóság felé hitelt érdemlően igazolja. Önmagában az a körülmény, hogy az adózónak Balatonberényben bejelentett, hatóságilag nyilvántartott lakcíme van, még nem feltétlenül jelenti azt, hogy ez a hely tekintendő az életvitelszerű </w:t>
      </w:r>
      <w:r w:rsidRPr="00B77BD0">
        <w:rPr>
          <w:rFonts w:ascii="Century Gothic" w:eastAsia="Times New Roman" w:hAnsi="Century Gothic" w:cs="Times New Roman"/>
          <w:lang w:eastAsia="hu-HU"/>
        </w:rPr>
        <w:lastRenderedPageBreak/>
        <w:t>lakóhelyének. Életvitelszerű lakóhelynek csakis az a hely tekinthető, amely szoros és tartós kapcsolatot jelent az adózó és Balatonberény község között.</w:t>
      </w:r>
    </w:p>
    <w:p w:rsidR="00863159" w:rsidRPr="00B77BD0" w:rsidRDefault="00BA5C8E" w:rsidP="002E2502">
      <w:pPr>
        <w:jc w:val="both"/>
        <w:rPr>
          <w:rFonts w:ascii="Century Gothic" w:hAnsi="Century Gothic"/>
        </w:rPr>
      </w:pPr>
      <w:r w:rsidRPr="00B77BD0">
        <w:rPr>
          <w:rFonts w:ascii="Century Gothic" w:hAnsi="Century Gothic"/>
        </w:rPr>
        <w:t>2018. évben az Alapvető Jogok Biztosa kezdeményezte a Kúria Önkormányzati Tanácsa előtt a 14/2017.(XII.1.) önkormányzati rendelet felülvizsgálatát, azzal a megokolással, hogy rendeletünkben meghatározott adókedvezmények (építmény és telek) körében, indokolatlanul és alaptörvény ellenesen teszünk különbséget a Magyarországon és a külföldön él</w:t>
      </w:r>
      <w:r w:rsidR="00B77BD0">
        <w:rPr>
          <w:rFonts w:ascii="Century Gothic" w:hAnsi="Century Gothic"/>
        </w:rPr>
        <w:t>e</w:t>
      </w:r>
      <w:r w:rsidRPr="00B77BD0">
        <w:rPr>
          <w:rFonts w:ascii="Century Gothic" w:hAnsi="Century Gothic"/>
        </w:rPr>
        <w:t xml:space="preserve">tvitelszerűen élő adóalanyok között, amely uniós alapelvekbe is ütközik. </w:t>
      </w:r>
    </w:p>
    <w:p w:rsidR="00BA5C8E" w:rsidRPr="00B77BD0" w:rsidRDefault="00BA5C8E" w:rsidP="002E2502">
      <w:pPr>
        <w:jc w:val="both"/>
        <w:rPr>
          <w:rFonts w:ascii="Century Gothic" w:hAnsi="Century Gothic"/>
        </w:rPr>
      </w:pPr>
      <w:r w:rsidRPr="00B77BD0">
        <w:rPr>
          <w:rFonts w:ascii="Century Gothic" w:hAnsi="Century Gothic"/>
        </w:rPr>
        <w:t>Ekkor módosította a képviselő-testület visszamenőleg hatállyal – 2018.</w:t>
      </w:r>
      <w:r w:rsidR="008B4DE4" w:rsidRPr="00B77BD0">
        <w:rPr>
          <w:rFonts w:ascii="Century Gothic" w:hAnsi="Century Gothic"/>
        </w:rPr>
        <w:t xml:space="preserve"> január 1. napjára </w:t>
      </w:r>
      <w:r w:rsidRPr="00B77BD0">
        <w:rPr>
          <w:rFonts w:ascii="Century Gothic" w:hAnsi="Century Gothic"/>
        </w:rPr>
        <w:t>- a helyi adó rendeletét, és ezzel a Kúria előtti eljárást is megszüntették.</w:t>
      </w:r>
    </w:p>
    <w:p w:rsidR="00F130DF" w:rsidRPr="00B77BD0" w:rsidRDefault="00BA5C8E" w:rsidP="002E2502">
      <w:pPr>
        <w:jc w:val="both"/>
        <w:rPr>
          <w:rFonts w:ascii="Century Gothic" w:hAnsi="Century Gothic"/>
        </w:rPr>
      </w:pPr>
      <w:r w:rsidRPr="00B77BD0">
        <w:rPr>
          <w:rFonts w:ascii="Century Gothic" w:hAnsi="Century Gothic"/>
        </w:rPr>
        <w:t>Ez a</w:t>
      </w:r>
      <w:r w:rsidR="00F4451C" w:rsidRPr="00B77BD0">
        <w:rPr>
          <w:rFonts w:ascii="Century Gothic" w:hAnsi="Century Gothic"/>
        </w:rPr>
        <w:t>módosítás, az építményadó esetében 176 külföldön élő adóalanyt érintett és 5 millió Ft adóbevétel kiesét okozott, mit 52 magánszemély telekadója tekintetébe</w:t>
      </w:r>
      <w:r w:rsidR="00F130DF" w:rsidRPr="00B77BD0">
        <w:rPr>
          <w:rFonts w:ascii="Century Gothic" w:hAnsi="Century Gothic"/>
        </w:rPr>
        <w:t>n 1 650 e Ft kiesést jelentett.</w:t>
      </w:r>
    </w:p>
    <w:p w:rsidR="00F130DF" w:rsidRPr="00B77BD0" w:rsidRDefault="006639FA" w:rsidP="002319DD">
      <w:pPr>
        <w:jc w:val="both"/>
        <w:rPr>
          <w:rFonts w:ascii="Century Gothic" w:hAnsi="Century Gothic"/>
        </w:rPr>
      </w:pPr>
      <w:r w:rsidRPr="00B77BD0">
        <w:rPr>
          <w:rFonts w:ascii="Century Gothic" w:hAnsi="Century Gothic"/>
        </w:rPr>
        <w:t>A képviselő-testület 2020.</w:t>
      </w:r>
      <w:r w:rsidR="002319DD" w:rsidRPr="00B77BD0">
        <w:rPr>
          <w:rFonts w:ascii="Century Gothic" w:hAnsi="Century Gothic"/>
        </w:rPr>
        <w:t xml:space="preserve"> szeptember 24-ei ülésen foglalkozott </w:t>
      </w:r>
      <w:r w:rsidR="00F130DF" w:rsidRPr="00B77BD0">
        <w:rPr>
          <w:rFonts w:ascii="Century Gothic" w:hAnsi="Century Gothic"/>
        </w:rPr>
        <w:t xml:space="preserve">legutóbbi alkalommal </w:t>
      </w:r>
      <w:r w:rsidR="002319DD" w:rsidRPr="00B77BD0">
        <w:rPr>
          <w:rFonts w:ascii="Century Gothic" w:hAnsi="Century Gothic"/>
        </w:rPr>
        <w:t>a helyi adók témakörével.</w:t>
      </w:r>
    </w:p>
    <w:p w:rsidR="00472DA5" w:rsidRPr="00B77BD0" w:rsidRDefault="00472DA5" w:rsidP="002319DD">
      <w:pPr>
        <w:jc w:val="both"/>
        <w:rPr>
          <w:rFonts w:ascii="Century Gothic" w:hAnsi="Century Gothic"/>
        </w:rPr>
      </w:pPr>
    </w:p>
    <w:p w:rsidR="002319DD" w:rsidRPr="00B77BD0" w:rsidRDefault="00F130DF" w:rsidP="002319DD">
      <w:pPr>
        <w:jc w:val="both"/>
        <w:rPr>
          <w:rFonts w:ascii="Century Gothic" w:hAnsi="Century Gothic"/>
        </w:rPr>
      </w:pPr>
      <w:r w:rsidRPr="00B77BD0">
        <w:rPr>
          <w:rFonts w:ascii="Century Gothic" w:eastAsia="Times New Roman" w:hAnsi="Century Gothic" w:cs="Times New Roman"/>
          <w:b/>
        </w:rPr>
        <w:t xml:space="preserve">Községünkben jelenleg: </w:t>
      </w:r>
    </w:p>
    <w:p w:rsidR="00F130DF" w:rsidRPr="00B77BD0" w:rsidRDefault="0058100A" w:rsidP="00472DA5">
      <w:pPr>
        <w:pStyle w:val="Listaszerbekezds"/>
        <w:numPr>
          <w:ilvl w:val="0"/>
          <w:numId w:val="15"/>
        </w:numPr>
        <w:jc w:val="both"/>
        <w:rPr>
          <w:rFonts w:ascii="Century Gothic" w:eastAsia="Times New Roman" w:hAnsi="Century Gothic" w:cs="Times New Roman"/>
        </w:rPr>
      </w:pPr>
      <w:r w:rsidRPr="00B77BD0">
        <w:rPr>
          <w:rFonts w:ascii="Century Gothic" w:eastAsia="Times New Roman" w:hAnsi="Century Gothic" w:cs="Times New Roman"/>
        </w:rPr>
        <w:t>Építményadó mértéke</w:t>
      </w:r>
      <w:r w:rsidR="00F130DF" w:rsidRPr="00B77BD0">
        <w:rPr>
          <w:rFonts w:ascii="Century Gothic" w:eastAsia="Times New Roman" w:hAnsi="Century Gothic" w:cs="Times New Roman"/>
        </w:rPr>
        <w:t xml:space="preserve">: 900 Ft/m2, </w:t>
      </w:r>
    </w:p>
    <w:p w:rsidR="002319DD" w:rsidRPr="00B77BD0" w:rsidRDefault="002319DD" w:rsidP="00472DA5">
      <w:pPr>
        <w:pStyle w:val="Listaszerbekezds"/>
        <w:numPr>
          <w:ilvl w:val="0"/>
          <w:numId w:val="15"/>
        </w:numPr>
        <w:jc w:val="both"/>
        <w:rPr>
          <w:rFonts w:ascii="Century Gothic" w:eastAsia="Times New Roman" w:hAnsi="Century Gothic" w:cs="Times New Roman"/>
        </w:rPr>
      </w:pPr>
      <w:r w:rsidRPr="00B77BD0">
        <w:rPr>
          <w:rFonts w:ascii="Century Gothic" w:eastAsia="Times New Roman" w:hAnsi="Century Gothic" w:cs="Times New Roman"/>
        </w:rPr>
        <w:t>telekadó 230 Ft/m2 2007.01.01-től.</w:t>
      </w:r>
    </w:p>
    <w:p w:rsidR="002319DD" w:rsidRPr="00B77BD0" w:rsidRDefault="002319DD" w:rsidP="00472DA5">
      <w:pPr>
        <w:pStyle w:val="Listaszerbekezds"/>
        <w:numPr>
          <w:ilvl w:val="0"/>
          <w:numId w:val="15"/>
        </w:numPr>
        <w:jc w:val="both"/>
        <w:rPr>
          <w:rFonts w:ascii="Century Gothic" w:hAnsi="Century Gothic"/>
        </w:rPr>
      </w:pPr>
      <w:r w:rsidRPr="00B77BD0">
        <w:rPr>
          <w:rFonts w:ascii="Century Gothic" w:eastAsia="Times New Roman" w:hAnsi="Century Gothic" w:cs="Times New Roman"/>
        </w:rPr>
        <w:t>magánszemélyek kommunális adója 14.000 Ft/lakás 2016.01.01-től.</w:t>
      </w:r>
    </w:p>
    <w:p w:rsidR="00B77BD0" w:rsidRPr="00B77BD0" w:rsidRDefault="002319DD" w:rsidP="00B77BD0">
      <w:pPr>
        <w:pStyle w:val="Listaszerbekezds"/>
        <w:numPr>
          <w:ilvl w:val="0"/>
          <w:numId w:val="15"/>
        </w:numPr>
        <w:jc w:val="both"/>
        <w:rPr>
          <w:rFonts w:ascii="Century Gothic" w:hAnsi="Century Gothic"/>
        </w:rPr>
      </w:pPr>
      <w:r w:rsidRPr="00B77BD0">
        <w:rPr>
          <w:rFonts w:ascii="Century Gothic" w:eastAsia="Times New Roman" w:hAnsi="Century Gothic" w:cs="Times New Roman"/>
        </w:rPr>
        <w:t>Az idegenforgalmi adó 400 Ft/fő/vendégéjszaka 2014.01.01-től.</w:t>
      </w:r>
    </w:p>
    <w:p w:rsidR="00B77BD0" w:rsidRPr="00B77BD0" w:rsidRDefault="00B77BD0" w:rsidP="00B77BD0">
      <w:pPr>
        <w:spacing w:before="100" w:beforeAutospacing="1" w:after="100" w:afterAutospacing="1" w:line="240" w:lineRule="auto"/>
        <w:rPr>
          <w:rFonts w:ascii="Century Gothic" w:eastAsia="Times New Roman" w:hAnsi="Century Gothic" w:cs="Times New Roman"/>
          <w:b/>
          <w:lang w:eastAsia="hu-HU"/>
        </w:rPr>
      </w:pPr>
      <w:r w:rsidRPr="00B77BD0">
        <w:rPr>
          <w:rFonts w:ascii="Century Gothic" w:eastAsia="Times New Roman" w:hAnsi="Century Gothic" w:cs="Times New Roman"/>
          <w:b/>
          <w:lang w:eastAsia="hu-HU"/>
        </w:rPr>
        <w:t>Az egyes tételes helyi adómértékek adómaximumát Htv</w:t>
      </w:r>
      <w:r w:rsidR="0058100A" w:rsidRPr="00B77BD0">
        <w:rPr>
          <w:rFonts w:ascii="Century Gothic" w:eastAsia="Times New Roman" w:hAnsi="Century Gothic" w:cs="Times New Roman"/>
          <w:b/>
          <w:lang w:eastAsia="hu-HU"/>
        </w:rPr>
        <w:t>. alapján</w:t>
      </w:r>
      <w:r w:rsidRPr="00B77BD0">
        <w:rPr>
          <w:rFonts w:ascii="Century Gothic" w:eastAsia="Times New Roman" w:hAnsi="Century Gothic" w:cs="Times New Roman"/>
          <w:b/>
          <w:lang w:eastAsia="hu-HU"/>
        </w:rPr>
        <w:t xml:space="preserve"> a Pénzügyminisztérium Jövedelemadók és Járulékok Főosztálya minden évben közzéteszi.</w:t>
      </w:r>
    </w:p>
    <w:p w:rsidR="00B77BD0" w:rsidRPr="00B77BD0" w:rsidRDefault="00B77BD0" w:rsidP="00B77BD0">
      <w:pPr>
        <w:spacing w:before="100" w:beforeAutospacing="1" w:after="100" w:afterAutospacing="1" w:line="240" w:lineRule="auto"/>
        <w:rPr>
          <w:rFonts w:ascii="Century Gothic" w:eastAsia="Times New Roman" w:hAnsi="Century Gothic" w:cs="Times New Roman"/>
          <w:b/>
          <w:lang w:eastAsia="hu-HU"/>
        </w:rPr>
      </w:pPr>
      <w:r w:rsidRPr="00B77BD0">
        <w:rPr>
          <w:rFonts w:ascii="Century Gothic" w:eastAsia="Times New Roman" w:hAnsi="Century Gothic" w:cs="Times New Roman"/>
          <w:b/>
          <w:lang w:eastAsia="hu-HU"/>
        </w:rPr>
        <w:t>2021. január 1-jétől az adómaximum</w:t>
      </w:r>
    </w:p>
    <w:tbl>
      <w:tblPr>
        <w:tblStyle w:val="Rcsostblzat"/>
        <w:tblW w:w="0" w:type="auto"/>
        <w:tblLook w:val="04A0"/>
      </w:tblPr>
      <w:tblGrid>
        <w:gridCol w:w="5665"/>
        <w:gridCol w:w="3397"/>
      </w:tblGrid>
      <w:tr w:rsidR="00B77BD0" w:rsidRPr="00B77BD0" w:rsidTr="00B77BD0">
        <w:trPr>
          <w:trHeight w:val="493"/>
        </w:trPr>
        <w:tc>
          <w:tcPr>
            <w:tcW w:w="5665"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Adónem</w:t>
            </w:r>
          </w:p>
        </w:tc>
        <w:tc>
          <w:tcPr>
            <w:tcW w:w="3397"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Adómaximum</w:t>
            </w:r>
          </w:p>
        </w:tc>
      </w:tr>
      <w:tr w:rsidR="00B77BD0" w:rsidRPr="00B77BD0" w:rsidTr="00B77BD0">
        <w:tc>
          <w:tcPr>
            <w:tcW w:w="5665"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Építményadó (épület, épületrész után)</w:t>
            </w:r>
          </w:p>
        </w:tc>
        <w:tc>
          <w:tcPr>
            <w:tcW w:w="3397" w:type="dxa"/>
          </w:tcPr>
          <w:p w:rsidR="00B77BD0" w:rsidRPr="00B77BD0" w:rsidRDefault="00B77BD0" w:rsidP="00B77BD0">
            <w:pPr>
              <w:spacing w:before="100" w:beforeAutospacing="1" w:after="100" w:afterAutospacing="1"/>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2.018 Ft/m2</w:t>
            </w:r>
          </w:p>
        </w:tc>
      </w:tr>
      <w:tr w:rsidR="00B77BD0" w:rsidRPr="00B77BD0" w:rsidTr="00B77BD0">
        <w:tc>
          <w:tcPr>
            <w:tcW w:w="5665"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 xml:space="preserve">Telekadó: </w:t>
            </w:r>
          </w:p>
        </w:tc>
        <w:tc>
          <w:tcPr>
            <w:tcW w:w="3397" w:type="dxa"/>
          </w:tcPr>
          <w:p w:rsidR="00B77BD0" w:rsidRPr="00B77BD0" w:rsidRDefault="00B77BD0" w:rsidP="00B77BD0">
            <w:pPr>
              <w:spacing w:before="100" w:beforeAutospacing="1" w:after="100" w:afterAutospacing="1"/>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366,9 Ft/m2</w:t>
            </w:r>
          </w:p>
        </w:tc>
      </w:tr>
      <w:tr w:rsidR="00B77BD0" w:rsidRPr="00B77BD0" w:rsidTr="00B77BD0">
        <w:tc>
          <w:tcPr>
            <w:tcW w:w="5665"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 xml:space="preserve">Magánszemély kommunális adója: </w:t>
            </w:r>
          </w:p>
        </w:tc>
        <w:tc>
          <w:tcPr>
            <w:tcW w:w="3397" w:type="dxa"/>
          </w:tcPr>
          <w:p w:rsidR="00B77BD0" w:rsidRPr="00B77BD0" w:rsidRDefault="00B77BD0" w:rsidP="00B77BD0">
            <w:pPr>
              <w:spacing w:before="100" w:beforeAutospacing="1" w:after="100" w:afterAutospacing="1"/>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31.187,4 Ft/adótárgy</w:t>
            </w:r>
          </w:p>
        </w:tc>
      </w:tr>
      <w:tr w:rsidR="00B77BD0" w:rsidRPr="00B77BD0" w:rsidTr="00B77BD0">
        <w:tc>
          <w:tcPr>
            <w:tcW w:w="5665" w:type="dxa"/>
          </w:tcPr>
          <w:p w:rsidR="00B77BD0" w:rsidRPr="00B77BD0" w:rsidRDefault="00B77BD0" w:rsidP="00B77BD0">
            <w:pPr>
              <w:spacing w:before="100" w:beforeAutospacing="1" w:after="100" w:afterAutospacing="1"/>
              <w:rPr>
                <w:rFonts w:ascii="Century Gothic" w:eastAsia="Times New Roman" w:hAnsi="Century Gothic" w:cs="Times New Roman"/>
                <w:lang w:eastAsia="hu-HU"/>
              </w:rPr>
            </w:pPr>
            <w:r w:rsidRPr="00B77BD0">
              <w:rPr>
                <w:rFonts w:ascii="Century Gothic" w:eastAsia="Times New Roman" w:hAnsi="Century Gothic" w:cs="Times New Roman"/>
                <w:lang w:eastAsia="hu-HU"/>
              </w:rPr>
              <w:t>Idegenforgalmi adó</w:t>
            </w:r>
          </w:p>
        </w:tc>
        <w:tc>
          <w:tcPr>
            <w:tcW w:w="3397" w:type="dxa"/>
          </w:tcPr>
          <w:p w:rsidR="00B77BD0" w:rsidRPr="00B77BD0" w:rsidRDefault="00B77BD0" w:rsidP="00B77BD0">
            <w:pPr>
              <w:spacing w:before="100" w:beforeAutospacing="1" w:after="100" w:afterAutospacing="1"/>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550,3 Ft/fő/vendégéjszaka</w:t>
            </w:r>
          </w:p>
        </w:tc>
      </w:tr>
    </w:tbl>
    <w:p w:rsidR="00B77BD0" w:rsidRPr="00B77BD0" w:rsidRDefault="00B77BD0" w:rsidP="00B77BD0">
      <w:pPr>
        <w:jc w:val="both"/>
        <w:rPr>
          <w:rFonts w:ascii="Century Gothic" w:hAnsi="Century Gothic"/>
        </w:rPr>
      </w:pPr>
    </w:p>
    <w:p w:rsidR="002319DD" w:rsidRPr="00B77BD0" w:rsidRDefault="002319DD" w:rsidP="002319DD">
      <w:pPr>
        <w:jc w:val="both"/>
        <w:rPr>
          <w:rFonts w:ascii="Century Gothic" w:eastAsia="Times New Roman" w:hAnsi="Century Gothic" w:cs="Times New Roman"/>
        </w:rPr>
      </w:pPr>
      <w:r w:rsidRPr="00B77BD0">
        <w:rPr>
          <w:rFonts w:ascii="Century Gothic" w:eastAsia="Times New Roman" w:hAnsi="Century Gothic" w:cs="Times New Roman"/>
        </w:rPr>
        <w:t xml:space="preserve">Idegenforgalmi adó bevétel </w:t>
      </w:r>
    </w:p>
    <w:p w:rsidR="002319DD" w:rsidRPr="00B77BD0" w:rsidRDefault="002319DD" w:rsidP="002319DD">
      <w:pPr>
        <w:jc w:val="both"/>
        <w:rPr>
          <w:rFonts w:ascii="Century Gothic" w:eastAsia="Times New Roman" w:hAnsi="Century Gothic" w:cs="Times New Roman"/>
        </w:rPr>
      </w:pPr>
      <w:r w:rsidRPr="00B77BD0">
        <w:rPr>
          <w:rFonts w:ascii="Century Gothic" w:eastAsia="Times New Roman" w:hAnsi="Century Gothic" w:cs="Times New Roman"/>
        </w:rPr>
        <w:t>2019. évben: 19.164.000 Ft.</w:t>
      </w:r>
    </w:p>
    <w:p w:rsidR="002319DD" w:rsidRPr="00B77BD0" w:rsidRDefault="002319DD" w:rsidP="002319DD">
      <w:pPr>
        <w:jc w:val="both"/>
        <w:rPr>
          <w:rFonts w:ascii="Century Gothic" w:hAnsi="Century Gothic"/>
        </w:rPr>
      </w:pPr>
      <w:r w:rsidRPr="00B77BD0">
        <w:rPr>
          <w:rFonts w:ascii="Century Gothic" w:eastAsia="Times New Roman" w:hAnsi="Century Gothic" w:cs="Times New Roman"/>
        </w:rPr>
        <w:t xml:space="preserve">2020. évben: </w:t>
      </w:r>
      <w:r w:rsidR="008979B0" w:rsidRPr="00B77BD0">
        <w:rPr>
          <w:rFonts w:ascii="Century Gothic" w:eastAsia="Times New Roman" w:hAnsi="Century Gothic" w:cs="Times New Roman"/>
        </w:rPr>
        <w:t xml:space="preserve">PANDÉMIA éve. Tervezett 16 millió Ft, módosított előirányzat 1.032 e Ft, teljesítés 930 e Ft. </w:t>
      </w:r>
    </w:p>
    <w:p w:rsidR="00F130DF" w:rsidRPr="00B77BD0" w:rsidRDefault="00F130DF" w:rsidP="002319DD">
      <w:pPr>
        <w:jc w:val="both"/>
        <w:rPr>
          <w:rFonts w:ascii="Century Gothic" w:hAnsi="Century Gothic"/>
        </w:rPr>
      </w:pPr>
      <w:r w:rsidRPr="00B77BD0">
        <w:rPr>
          <w:rFonts w:ascii="Century Gothic" w:eastAsia="Times New Roman" w:hAnsi="Century Gothic" w:cs="Times New Roman"/>
        </w:rPr>
        <w:lastRenderedPageBreak/>
        <w:t xml:space="preserve">A helyi adók döntő többségét a községben életvitelszerűen nem élő hétvégi </w:t>
      </w:r>
      <w:r w:rsidR="0058100A" w:rsidRPr="00B77BD0">
        <w:rPr>
          <w:rFonts w:ascii="Century Gothic" w:eastAsia="Times New Roman" w:hAnsi="Century Gothic" w:cs="Times New Roman"/>
        </w:rPr>
        <w:t>háztulajdonosok</w:t>
      </w:r>
      <w:r w:rsidRPr="00B77BD0">
        <w:rPr>
          <w:rFonts w:ascii="Century Gothic" w:eastAsia="Times New Roman" w:hAnsi="Century Gothic" w:cs="Times New Roman"/>
        </w:rPr>
        <w:t xml:space="preserve"> fizetik meg, illetve az idegenforgalmi adó többsége is e területen képződik.</w:t>
      </w:r>
    </w:p>
    <w:p w:rsidR="002319DD" w:rsidRPr="00B77BD0" w:rsidRDefault="002319DD" w:rsidP="002319DD">
      <w:pPr>
        <w:jc w:val="both"/>
        <w:rPr>
          <w:rFonts w:ascii="Century Gothic" w:eastAsia="Times New Roman" w:hAnsi="Century Gothic" w:cs="Times New Roman"/>
        </w:rPr>
      </w:pPr>
      <w:r w:rsidRPr="00B77BD0">
        <w:rPr>
          <w:rFonts w:ascii="Century Gothic" w:eastAsia="Times New Roman" w:hAnsi="Century Gothic" w:cs="Times New Roman"/>
        </w:rPr>
        <w:t>A helyi iparűzési adó 2 %, melynek emelésére nincs lehetőség, ez a törvényben biztosított maximum.</w:t>
      </w:r>
    </w:p>
    <w:p w:rsidR="00AC78A0" w:rsidRPr="00B77BD0" w:rsidRDefault="00AC78A0" w:rsidP="002319DD">
      <w:pPr>
        <w:jc w:val="both"/>
        <w:rPr>
          <w:rFonts w:ascii="Century Gothic" w:hAnsi="Century Gothic"/>
        </w:rPr>
      </w:pPr>
      <w:r w:rsidRPr="00B77BD0">
        <w:rPr>
          <w:rFonts w:ascii="Century Gothic" w:eastAsia="Times New Roman" w:hAnsi="Century Gothic" w:cs="Times New Roman"/>
        </w:rPr>
        <w:t>A 2020. évi helyi adó bevételek alakulása:</w:t>
      </w:r>
    </w:p>
    <w:tbl>
      <w:tblPr>
        <w:tblW w:w="7508" w:type="dxa"/>
        <w:tblCellMar>
          <w:left w:w="70" w:type="dxa"/>
          <w:right w:w="70" w:type="dxa"/>
        </w:tblCellMar>
        <w:tblLook w:val="04A0"/>
      </w:tblPr>
      <w:tblGrid>
        <w:gridCol w:w="2122"/>
        <w:gridCol w:w="1458"/>
        <w:gridCol w:w="1458"/>
        <w:gridCol w:w="1458"/>
        <w:gridCol w:w="1174"/>
        <w:gridCol w:w="1134"/>
      </w:tblGrid>
      <w:tr w:rsidR="008979B0" w:rsidRPr="00B77BD0" w:rsidTr="008979B0">
        <w:trPr>
          <w:trHeight w:val="225"/>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2020.évi eredeti költségvetés</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2020.évi költségvetés módosítás</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 xml:space="preserve">2020.évi módosított költségvetés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2020.évi tényleges teljesítés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Teljesítés %-a</w:t>
            </w:r>
          </w:p>
        </w:tc>
      </w:tr>
      <w:tr w:rsidR="008979B0" w:rsidRPr="00B77BD0" w:rsidTr="008979B0">
        <w:trPr>
          <w:trHeight w:val="225"/>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Építményadó</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48 000</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-596</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47 404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43 778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92,35%</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Telekadó</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22 000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15 381</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37 381</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36 040</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96,41%</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Kommunális adó</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5 700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1 428</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7 128</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6 399</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89,77%</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Idegenforgalmi adó</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16 000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-14 968</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1 032</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930</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90,12%</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Iparűzési adó</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29 000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1 476</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30 476</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26 875</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88,18%</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Times New Roman"/>
                <w:lang w:eastAsia="hu-HU"/>
              </w:rPr>
            </w:pPr>
            <w:r w:rsidRPr="00B77BD0">
              <w:rPr>
                <w:rFonts w:ascii="Century Gothic" w:eastAsia="Times New Roman" w:hAnsi="Century Gothic" w:cs="Times New Roman"/>
                <w:lang w:eastAsia="hu-HU"/>
              </w:rPr>
              <w:t>Helyi adó pótlék, bírság</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1 600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4 488</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6 088</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1 911</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31,39%</w:t>
            </w:r>
          </w:p>
        </w:tc>
      </w:tr>
      <w:tr w:rsidR="008979B0" w:rsidRPr="00B77BD0" w:rsidTr="008979B0">
        <w:trPr>
          <w:trHeight w:val="22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rPr>
                <w:rFonts w:ascii="Century Gothic" w:eastAsia="Times New Roman" w:hAnsi="Century Gothic" w:cs="Arial"/>
                <w:b/>
                <w:bCs/>
                <w:lang w:eastAsia="hu-HU"/>
              </w:rPr>
            </w:pPr>
            <w:r w:rsidRPr="00B77BD0">
              <w:rPr>
                <w:rFonts w:ascii="Century Gothic" w:eastAsia="Times New Roman" w:hAnsi="Century Gothic" w:cs="Arial"/>
                <w:b/>
                <w:bCs/>
                <w:lang w:eastAsia="hu-HU"/>
              </w:rPr>
              <w:t>Helyi adó összesen (2-7)</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b/>
                <w:bCs/>
                <w:lang w:eastAsia="hu-HU"/>
              </w:rPr>
            </w:pPr>
            <w:r w:rsidRPr="00B77BD0">
              <w:rPr>
                <w:rFonts w:ascii="Century Gothic" w:eastAsia="Times New Roman" w:hAnsi="Century Gothic" w:cs="Times New Roman"/>
                <w:b/>
                <w:bCs/>
                <w:lang w:eastAsia="hu-HU"/>
              </w:rPr>
              <w:t>122 300</w:t>
            </w:r>
          </w:p>
        </w:tc>
        <w:tc>
          <w:tcPr>
            <w:tcW w:w="103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b/>
                <w:bCs/>
                <w:lang w:eastAsia="hu-HU"/>
              </w:rPr>
            </w:pPr>
            <w:r w:rsidRPr="00B77BD0">
              <w:rPr>
                <w:rFonts w:ascii="Century Gothic" w:eastAsia="Times New Roman" w:hAnsi="Century Gothic" w:cs="Times New Roman"/>
                <w:b/>
                <w:bCs/>
                <w:lang w:eastAsia="hu-HU"/>
              </w:rPr>
              <w:t>7 209</w:t>
            </w:r>
          </w:p>
        </w:tc>
        <w:tc>
          <w:tcPr>
            <w:tcW w:w="1342"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b/>
                <w:bCs/>
                <w:lang w:eastAsia="hu-HU"/>
              </w:rPr>
            </w:pPr>
            <w:r w:rsidRPr="00B77BD0">
              <w:rPr>
                <w:rFonts w:ascii="Century Gothic" w:eastAsia="Times New Roman" w:hAnsi="Century Gothic" w:cs="Times New Roman"/>
                <w:b/>
                <w:bCs/>
                <w:lang w:eastAsia="hu-HU"/>
              </w:rPr>
              <w:t>129 509</w:t>
            </w:r>
          </w:p>
        </w:tc>
        <w:tc>
          <w:tcPr>
            <w:tcW w:w="850"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b/>
                <w:bCs/>
                <w:lang w:eastAsia="hu-HU"/>
              </w:rPr>
            </w:pPr>
            <w:r w:rsidRPr="00B77BD0">
              <w:rPr>
                <w:rFonts w:ascii="Century Gothic" w:eastAsia="Times New Roman" w:hAnsi="Century Gothic" w:cs="Times New Roman"/>
                <w:b/>
                <w:bCs/>
                <w:lang w:eastAsia="hu-HU"/>
              </w:rPr>
              <w:t>115 933</w:t>
            </w:r>
          </w:p>
        </w:tc>
        <w:tc>
          <w:tcPr>
            <w:tcW w:w="1134" w:type="dxa"/>
            <w:tcBorders>
              <w:top w:val="nil"/>
              <w:left w:val="nil"/>
              <w:bottom w:val="single" w:sz="4" w:space="0" w:color="auto"/>
              <w:right w:val="single" w:sz="4" w:space="0" w:color="auto"/>
            </w:tcBorders>
            <w:shd w:val="clear" w:color="auto" w:fill="auto"/>
            <w:noWrap/>
            <w:vAlign w:val="bottom"/>
            <w:hideMark/>
          </w:tcPr>
          <w:p w:rsidR="008979B0" w:rsidRPr="00B77BD0" w:rsidRDefault="008979B0" w:rsidP="008979B0">
            <w:pPr>
              <w:spacing w:after="0" w:line="240" w:lineRule="auto"/>
              <w:jc w:val="right"/>
              <w:rPr>
                <w:rFonts w:ascii="Century Gothic" w:eastAsia="Times New Roman" w:hAnsi="Century Gothic" w:cs="Times New Roman"/>
                <w:lang w:eastAsia="hu-HU"/>
              </w:rPr>
            </w:pPr>
            <w:r w:rsidRPr="00B77BD0">
              <w:rPr>
                <w:rFonts w:ascii="Century Gothic" w:eastAsia="Times New Roman" w:hAnsi="Century Gothic" w:cs="Times New Roman"/>
                <w:lang w:eastAsia="hu-HU"/>
              </w:rPr>
              <w:t>89,52%</w:t>
            </w:r>
          </w:p>
        </w:tc>
      </w:tr>
    </w:tbl>
    <w:p w:rsidR="002319DD" w:rsidRPr="00B77BD0" w:rsidRDefault="002319DD" w:rsidP="002E2502">
      <w:pPr>
        <w:jc w:val="both"/>
        <w:rPr>
          <w:rFonts w:ascii="Century Gothic" w:hAnsi="Century Gothic"/>
        </w:rPr>
      </w:pPr>
    </w:p>
    <w:p w:rsidR="00AC78A0" w:rsidRPr="00B77BD0" w:rsidRDefault="00AC78A0" w:rsidP="002E2502">
      <w:pPr>
        <w:jc w:val="both"/>
        <w:rPr>
          <w:rFonts w:ascii="Century Gothic" w:hAnsi="Century Gothic"/>
        </w:rPr>
      </w:pPr>
    </w:p>
    <w:p w:rsidR="00AC78A0" w:rsidRPr="00B77BD0" w:rsidRDefault="00AC78A0" w:rsidP="002E2502">
      <w:pPr>
        <w:jc w:val="both"/>
        <w:rPr>
          <w:rFonts w:ascii="Century Gothic" w:hAnsi="Century Gothic"/>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472DA5" w:rsidRDefault="00472DA5" w:rsidP="002E2502">
      <w:pPr>
        <w:jc w:val="both"/>
        <w:rPr>
          <w:rFonts w:ascii="Century Gothic" w:hAnsi="Century Gothic"/>
          <w:sz w:val="20"/>
          <w:szCs w:val="20"/>
        </w:rPr>
      </w:pPr>
    </w:p>
    <w:p w:rsidR="00472DA5" w:rsidRPr="004126B5" w:rsidRDefault="00472DA5" w:rsidP="002E2502">
      <w:pPr>
        <w:jc w:val="both"/>
        <w:rPr>
          <w:rFonts w:ascii="Century Gothic" w:hAnsi="Century Gothic"/>
          <w:sz w:val="20"/>
          <w:szCs w:val="20"/>
        </w:rPr>
      </w:pPr>
    </w:p>
    <w:tbl>
      <w:tblPr>
        <w:tblpPr w:leftFromText="141" w:rightFromText="141" w:vertAnchor="text" w:horzAnchor="margin" w:tblpXSpec="center" w:tblpY="-1416"/>
        <w:tblW w:w="10325" w:type="dxa"/>
        <w:tblCellMar>
          <w:left w:w="70" w:type="dxa"/>
          <w:right w:w="70" w:type="dxa"/>
        </w:tblCellMar>
        <w:tblLook w:val="04A0"/>
      </w:tblPr>
      <w:tblGrid>
        <w:gridCol w:w="544"/>
        <w:gridCol w:w="2410"/>
        <w:gridCol w:w="1985"/>
        <w:gridCol w:w="1088"/>
        <w:gridCol w:w="1321"/>
        <w:gridCol w:w="1276"/>
        <w:gridCol w:w="1820"/>
      </w:tblGrid>
      <w:tr w:rsidR="004126B5" w:rsidRPr="004126B5" w:rsidTr="004126B5">
        <w:trPr>
          <w:trHeight w:val="315"/>
        </w:trPr>
        <w:tc>
          <w:tcPr>
            <w:tcW w:w="544" w:type="dxa"/>
            <w:tcBorders>
              <w:top w:val="double" w:sz="6" w:space="0" w:color="auto"/>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lastRenderedPageBreak/>
              <w:t> </w:t>
            </w:r>
          </w:p>
        </w:tc>
        <w:tc>
          <w:tcPr>
            <w:tcW w:w="2410" w:type="dxa"/>
            <w:tcBorders>
              <w:top w:val="double" w:sz="6" w:space="0" w:color="auto"/>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985" w:type="dxa"/>
            <w:tcBorders>
              <w:top w:val="double" w:sz="6" w:space="0" w:color="auto"/>
              <w:left w:val="nil"/>
              <w:bottom w:val="single" w:sz="4" w:space="0" w:color="auto"/>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b/>
                <w:bCs/>
                <w:sz w:val="20"/>
                <w:szCs w:val="20"/>
                <w:lang w:eastAsia="hu-HU"/>
              </w:rPr>
            </w:pPr>
            <w:r w:rsidRPr="004126B5">
              <w:rPr>
                <w:rFonts w:ascii="Century Gothic" w:eastAsia="Times New Roman" w:hAnsi="Century Gothic" w:cs="Arial"/>
                <w:b/>
                <w:bCs/>
                <w:sz w:val="20"/>
                <w:szCs w:val="20"/>
                <w:lang w:eastAsia="hu-HU"/>
              </w:rPr>
              <w:t>Adóalanyok száma</w:t>
            </w:r>
          </w:p>
        </w:tc>
        <w:tc>
          <w:tcPr>
            <w:tcW w:w="1088" w:type="dxa"/>
            <w:tcBorders>
              <w:top w:val="double" w:sz="6" w:space="0" w:color="auto"/>
              <w:left w:val="nil"/>
              <w:bottom w:val="single" w:sz="4" w:space="0" w:color="auto"/>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4298" w:type="dxa"/>
            <w:gridSpan w:val="3"/>
            <w:tcBorders>
              <w:top w:val="double" w:sz="6" w:space="0" w:color="auto"/>
              <w:left w:val="nil"/>
              <w:bottom w:val="single" w:sz="4" w:space="0" w:color="auto"/>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b/>
                <w:bCs/>
                <w:color w:val="000000"/>
                <w:sz w:val="20"/>
                <w:szCs w:val="20"/>
                <w:lang w:eastAsia="hu-HU"/>
              </w:rPr>
            </w:pPr>
            <w:r w:rsidRPr="004126B5">
              <w:rPr>
                <w:rFonts w:ascii="Century Gothic" w:eastAsia="Times New Roman" w:hAnsi="Century Gothic" w:cs="Arial"/>
                <w:b/>
                <w:bCs/>
                <w:color w:val="000000"/>
                <w:sz w:val="20"/>
                <w:szCs w:val="20"/>
                <w:lang w:eastAsia="hu-HU"/>
              </w:rPr>
              <w:t>Terület szerinti adózás esetén</w:t>
            </w:r>
          </w:p>
        </w:tc>
      </w:tr>
      <w:tr w:rsidR="004126B5" w:rsidRPr="004126B5" w:rsidTr="004126B5">
        <w:trPr>
          <w:trHeight w:val="259"/>
        </w:trPr>
        <w:tc>
          <w:tcPr>
            <w:tcW w:w="544" w:type="dxa"/>
            <w:tcBorders>
              <w:top w:val="nil"/>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nil"/>
              <w:left w:val="nil"/>
              <w:bottom w:val="nil"/>
              <w:right w:val="single" w:sz="4" w:space="0" w:color="auto"/>
            </w:tcBorders>
            <w:shd w:val="clear" w:color="auto" w:fill="auto"/>
            <w:noWrap/>
            <w:vAlign w:val="bottom"/>
            <w:hideMark/>
          </w:tcPr>
          <w:p w:rsidR="00F130DF" w:rsidRDefault="00F130DF" w:rsidP="004126B5">
            <w:pPr>
              <w:spacing w:after="0" w:line="240" w:lineRule="auto"/>
              <w:jc w:val="center"/>
              <w:rPr>
                <w:rFonts w:ascii="Century Gothic" w:eastAsia="Times New Roman" w:hAnsi="Century Gothic" w:cs="Arial"/>
                <w:sz w:val="20"/>
                <w:szCs w:val="20"/>
                <w:lang w:eastAsia="hu-HU"/>
              </w:rPr>
            </w:pPr>
            <w:r>
              <w:rPr>
                <w:rFonts w:ascii="Century Gothic" w:eastAsia="Times New Roman" w:hAnsi="Century Gothic" w:cs="Arial"/>
                <w:sz w:val="20"/>
                <w:szCs w:val="20"/>
                <w:lang w:eastAsia="hu-HU"/>
              </w:rPr>
              <w:t xml:space="preserve">Építményadó kivetés 2021. </w:t>
            </w:r>
          </w:p>
          <w:p w:rsidR="004126B5" w:rsidRPr="004126B5" w:rsidRDefault="00F130DF" w:rsidP="004126B5">
            <w:pPr>
              <w:spacing w:after="0" w:line="240" w:lineRule="auto"/>
              <w:jc w:val="center"/>
              <w:rPr>
                <w:rFonts w:ascii="Century Gothic" w:eastAsia="Times New Roman" w:hAnsi="Century Gothic" w:cs="Arial"/>
                <w:sz w:val="20"/>
                <w:szCs w:val="20"/>
                <w:lang w:eastAsia="hu-HU"/>
              </w:rPr>
            </w:pPr>
            <w:r>
              <w:rPr>
                <w:rFonts w:ascii="Century Gothic" w:eastAsia="Times New Roman" w:hAnsi="Century Gothic" w:cs="Arial"/>
                <w:sz w:val="20"/>
                <w:szCs w:val="20"/>
                <w:lang w:eastAsia="hu-HU"/>
              </w:rPr>
              <w:t>egyéni vállalkozók</w:t>
            </w:r>
            <w:r w:rsidR="004126B5" w:rsidRPr="004126B5">
              <w:rPr>
                <w:rFonts w:ascii="Century Gothic" w:eastAsia="Times New Roman" w:hAnsi="Century Gothic" w:cs="Arial"/>
                <w:sz w:val="20"/>
                <w:szCs w:val="20"/>
                <w:lang w:eastAsia="hu-HU"/>
              </w:rPr>
              <w:t> </w:t>
            </w:r>
          </w:p>
        </w:tc>
        <w:tc>
          <w:tcPr>
            <w:tcW w:w="1985"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tulajdonos vagy vagyoni</w:t>
            </w:r>
          </w:p>
        </w:tc>
        <w:tc>
          <w:tcPr>
            <w:tcW w:w="1088"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2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Adótárgyak </w:t>
            </w:r>
          </w:p>
        </w:tc>
        <w:tc>
          <w:tcPr>
            <w:tcW w:w="1276"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Terület</w:t>
            </w:r>
          </w:p>
        </w:tc>
        <w:tc>
          <w:tcPr>
            <w:tcW w:w="170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Adómegállapítás</w:t>
            </w:r>
          </w:p>
        </w:tc>
      </w:tr>
      <w:tr w:rsidR="004126B5" w:rsidRPr="004126B5" w:rsidTr="004126B5">
        <w:trPr>
          <w:trHeight w:val="392"/>
        </w:trPr>
        <w:tc>
          <w:tcPr>
            <w:tcW w:w="544" w:type="dxa"/>
            <w:tcBorders>
              <w:top w:val="nil"/>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p>
        </w:tc>
        <w:tc>
          <w:tcPr>
            <w:tcW w:w="1985" w:type="dxa"/>
            <w:tcBorders>
              <w:top w:val="nil"/>
              <w:left w:val="nil"/>
              <w:bottom w:val="single" w:sz="4" w:space="0" w:color="auto"/>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értékű jog jogosítottja</w:t>
            </w:r>
          </w:p>
        </w:tc>
        <w:tc>
          <w:tcPr>
            <w:tcW w:w="1088" w:type="dxa"/>
            <w:tcBorders>
              <w:top w:val="nil"/>
              <w:left w:val="nil"/>
              <w:bottom w:val="single" w:sz="4" w:space="0" w:color="auto"/>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2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száma</w:t>
            </w:r>
          </w:p>
        </w:tc>
        <w:tc>
          <w:tcPr>
            <w:tcW w:w="1276"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(adóalap)</w:t>
            </w:r>
          </w:p>
        </w:tc>
        <w:tc>
          <w:tcPr>
            <w:tcW w:w="170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4126B5">
        <w:trPr>
          <w:trHeight w:val="300"/>
        </w:trPr>
        <w:tc>
          <w:tcPr>
            <w:tcW w:w="544" w:type="dxa"/>
            <w:tcBorders>
              <w:top w:val="nil"/>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985"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magánszemély</w:t>
            </w:r>
          </w:p>
        </w:tc>
        <w:tc>
          <w:tcPr>
            <w:tcW w:w="1088"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xml:space="preserve">egyéb </w:t>
            </w:r>
          </w:p>
        </w:tc>
        <w:tc>
          <w:tcPr>
            <w:tcW w:w="132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276"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70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4126B5">
        <w:trPr>
          <w:trHeight w:val="300"/>
        </w:trPr>
        <w:tc>
          <w:tcPr>
            <w:tcW w:w="544" w:type="dxa"/>
            <w:tcBorders>
              <w:top w:val="nil"/>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985"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088"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adóalany</w:t>
            </w:r>
          </w:p>
        </w:tc>
        <w:tc>
          <w:tcPr>
            <w:tcW w:w="132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276"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70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4126B5">
        <w:trPr>
          <w:trHeight w:val="390"/>
        </w:trPr>
        <w:tc>
          <w:tcPr>
            <w:tcW w:w="544" w:type="dxa"/>
            <w:tcBorders>
              <w:top w:val="nil"/>
              <w:left w:val="double" w:sz="6" w:space="0" w:color="auto"/>
              <w:bottom w:val="nil"/>
              <w:right w:val="nil"/>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985" w:type="dxa"/>
            <w:tcBorders>
              <w:top w:val="nil"/>
              <w:left w:val="nil"/>
              <w:bottom w:val="nil"/>
              <w:right w:val="single" w:sz="4" w:space="0" w:color="auto"/>
            </w:tcBorders>
            <w:shd w:val="clear" w:color="auto" w:fill="auto"/>
            <w:noWrap/>
            <w:vAlign w:val="center"/>
            <w:hideMark/>
          </w:tcPr>
          <w:p w:rsidR="004126B5" w:rsidRPr="004126B5" w:rsidRDefault="004126B5" w:rsidP="004126B5">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w:t>
            </w:r>
          </w:p>
        </w:tc>
        <w:tc>
          <w:tcPr>
            <w:tcW w:w="1088"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 db)</w:t>
            </w:r>
          </w:p>
        </w:tc>
        <w:tc>
          <w:tcPr>
            <w:tcW w:w="132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(db)</w:t>
            </w:r>
          </w:p>
        </w:tc>
        <w:tc>
          <w:tcPr>
            <w:tcW w:w="1276"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(m</w:t>
            </w:r>
            <w:r w:rsidRPr="004126B5">
              <w:rPr>
                <w:rFonts w:ascii="Century Gothic" w:eastAsia="Times New Roman" w:hAnsi="Century Gothic" w:cs="Calibri"/>
                <w:color w:val="000000"/>
                <w:sz w:val="20"/>
                <w:szCs w:val="20"/>
                <w:vertAlign w:val="superscript"/>
                <w:lang w:eastAsia="hu-HU"/>
              </w:rPr>
              <w:t>2</w:t>
            </w:r>
            <w:r w:rsidRPr="004126B5">
              <w:rPr>
                <w:rFonts w:ascii="Century Gothic" w:eastAsia="Times New Roman" w:hAnsi="Century Gothic" w:cs="Calibri"/>
                <w:color w:val="000000"/>
                <w:sz w:val="20"/>
                <w:szCs w:val="20"/>
                <w:lang w:eastAsia="hu-HU"/>
              </w:rPr>
              <w:t>)</w:t>
            </w:r>
          </w:p>
        </w:tc>
        <w:tc>
          <w:tcPr>
            <w:tcW w:w="1701" w:type="dxa"/>
            <w:tcBorders>
              <w:top w:val="nil"/>
              <w:left w:val="nil"/>
              <w:bottom w:val="nil"/>
              <w:right w:val="single" w:sz="4" w:space="0" w:color="auto"/>
            </w:tcBorders>
            <w:shd w:val="clear" w:color="auto" w:fill="auto"/>
            <w:noWrap/>
            <w:vAlign w:val="bottom"/>
            <w:hideMark/>
          </w:tcPr>
          <w:p w:rsidR="004126B5" w:rsidRPr="004126B5" w:rsidRDefault="004126B5" w:rsidP="004126B5">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(Ft)</w:t>
            </w:r>
          </w:p>
        </w:tc>
      </w:tr>
      <w:tr w:rsidR="004126B5" w:rsidRPr="004126B5" w:rsidTr="004126B5">
        <w:trPr>
          <w:trHeight w:val="330"/>
        </w:trPr>
        <w:tc>
          <w:tcPr>
            <w:tcW w:w="544" w:type="dxa"/>
            <w:tcBorders>
              <w:top w:val="double" w:sz="6" w:space="0" w:color="auto"/>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2410"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w:t>
            </w:r>
          </w:p>
        </w:tc>
        <w:tc>
          <w:tcPr>
            <w:tcW w:w="1985"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w:t>
            </w:r>
          </w:p>
        </w:tc>
        <w:tc>
          <w:tcPr>
            <w:tcW w:w="1088"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1276"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1 748</w:t>
            </w:r>
          </w:p>
        </w:tc>
        <w:tc>
          <w:tcPr>
            <w:tcW w:w="1701" w:type="dxa"/>
            <w:tcBorders>
              <w:top w:val="double" w:sz="6" w:space="0" w:color="auto"/>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786 515</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a)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adóköteles adóalapja [1-(2+3+4+5)]</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1 748</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786 515</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adója</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1 748</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786 516</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8.</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fizetendő adója [7-8]</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1 748</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786 516</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991</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445 950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11.</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12.</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adóköteles adóalapja [10-(11+12)]</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991</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445 950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adója</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991</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445 950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15.</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16.</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fizetendő adója [14-15]</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991</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445 950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17.</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893</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446 500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18.</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19.</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20.</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21.</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48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adóköteles adóalapja</w:t>
            </w:r>
            <w:r w:rsidRPr="004126B5">
              <w:rPr>
                <w:rFonts w:ascii="Century Gothic" w:eastAsia="Times New Roman" w:hAnsi="Century Gothic" w:cs="Arial"/>
                <w:b/>
                <w:bCs/>
                <w:color w:val="222222"/>
                <w:sz w:val="20"/>
                <w:szCs w:val="20"/>
                <w:lang w:eastAsia="hu-HU"/>
              </w:rPr>
              <w:br/>
              <w:t>[17-(18+19+20+21)]</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893</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446 500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23.</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adója</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893</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446 500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24.</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lastRenderedPageBreak/>
              <w:t>25.</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fizetendő adója [23-24]</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893</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446 500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26.</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346</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152 375</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27.</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28.</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29.</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30.</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48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31.</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adóköteles adóalapja [26-(27+28+29+30)]</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346</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152 375</w:t>
            </w:r>
          </w:p>
        </w:tc>
      </w:tr>
      <w:tr w:rsidR="004126B5" w:rsidRPr="004126B5" w:rsidTr="004126B5">
        <w:trPr>
          <w:trHeight w:val="458"/>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adója</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346</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152 375</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33.</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fizetendő adója [32-33]</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346</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152 375</w:t>
            </w:r>
          </w:p>
        </w:tc>
      </w:tr>
      <w:tr w:rsidR="004126B5" w:rsidRPr="004126B5" w:rsidTr="004126B5">
        <w:trPr>
          <w:trHeight w:val="48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35.</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nem lakás, üdülő céljára szolgáló építmény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26</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667</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246 373</w:t>
            </w:r>
          </w:p>
        </w:tc>
      </w:tr>
      <w:tr w:rsidR="004126B5" w:rsidRPr="004126B5" w:rsidTr="004126B5">
        <w:trPr>
          <w:trHeight w:val="443"/>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36.</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37.</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38.</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39.</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75</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33 750</w:t>
            </w:r>
          </w:p>
        </w:tc>
      </w:tr>
      <w:tr w:rsidR="004126B5" w:rsidRPr="004126B5" w:rsidTr="004126B5">
        <w:trPr>
          <w:trHeight w:val="48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40.</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adóköteles adóalapja</w:t>
            </w:r>
            <w:r w:rsidRPr="004126B5">
              <w:rPr>
                <w:rFonts w:ascii="Century Gothic" w:eastAsia="Times New Roman" w:hAnsi="Century Gothic" w:cs="Arial"/>
                <w:b/>
                <w:bCs/>
                <w:color w:val="222222"/>
                <w:sz w:val="20"/>
                <w:szCs w:val="20"/>
                <w:lang w:eastAsia="hu-HU"/>
              </w:rPr>
              <w:br/>
              <w:t>[35-(36+37+38+39)]</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adója</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667</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246 373</w:t>
            </w:r>
          </w:p>
        </w:tc>
      </w:tr>
      <w:tr w:rsidR="004126B5" w:rsidRPr="004126B5" w:rsidTr="004126B5">
        <w:trPr>
          <w:trHeight w:val="300"/>
        </w:trPr>
        <w:tc>
          <w:tcPr>
            <w:tcW w:w="544" w:type="dxa"/>
            <w:tcBorders>
              <w:top w:val="nil"/>
              <w:left w:val="double" w:sz="6" w:space="0" w:color="auto"/>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42.</w:t>
            </w:r>
          </w:p>
        </w:tc>
        <w:tc>
          <w:tcPr>
            <w:tcW w:w="2410"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985"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2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276"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701" w:type="dxa"/>
            <w:tcBorders>
              <w:top w:val="nil"/>
              <w:left w:val="nil"/>
              <w:bottom w:val="single" w:sz="4" w:space="0" w:color="auto"/>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4126B5">
        <w:trPr>
          <w:trHeight w:val="300"/>
        </w:trPr>
        <w:tc>
          <w:tcPr>
            <w:tcW w:w="544" w:type="dxa"/>
            <w:tcBorders>
              <w:top w:val="nil"/>
              <w:left w:val="double" w:sz="6" w:space="0" w:color="auto"/>
              <w:bottom w:val="nil"/>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43.</w:t>
            </w:r>
          </w:p>
        </w:tc>
        <w:tc>
          <w:tcPr>
            <w:tcW w:w="2410"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fizetendő adója [41-42]</w:t>
            </w:r>
          </w:p>
        </w:tc>
        <w:tc>
          <w:tcPr>
            <w:tcW w:w="1985"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w:t>
            </w:r>
          </w:p>
        </w:tc>
        <w:tc>
          <w:tcPr>
            <w:tcW w:w="1088"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21"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w:t>
            </w:r>
          </w:p>
        </w:tc>
        <w:tc>
          <w:tcPr>
            <w:tcW w:w="1276"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667</w:t>
            </w:r>
          </w:p>
        </w:tc>
        <w:tc>
          <w:tcPr>
            <w:tcW w:w="1701" w:type="dxa"/>
            <w:tcBorders>
              <w:top w:val="nil"/>
              <w:left w:val="nil"/>
              <w:bottom w:val="nil"/>
              <w:right w:val="single" w:sz="4" w:space="0" w:color="auto"/>
            </w:tcBorders>
            <w:shd w:val="clear" w:color="auto" w:fill="auto"/>
            <w:vAlign w:val="center"/>
            <w:hideMark/>
          </w:tcPr>
          <w:p w:rsidR="004126B5" w:rsidRPr="004126B5" w:rsidRDefault="004126B5" w:rsidP="004126B5">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246 373</w:t>
            </w:r>
          </w:p>
        </w:tc>
      </w:tr>
      <w:tr w:rsidR="004126B5" w:rsidRPr="004126B5" w:rsidTr="004126B5">
        <w:trPr>
          <w:trHeight w:val="469"/>
        </w:trPr>
        <w:tc>
          <w:tcPr>
            <w:tcW w:w="544"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410"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Összes fizetendő adó (9+16+25+34+43)</w:t>
            </w:r>
          </w:p>
        </w:tc>
        <w:tc>
          <w:tcPr>
            <w:tcW w:w="1985"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54</w:t>
            </w:r>
          </w:p>
        </w:tc>
        <w:tc>
          <w:tcPr>
            <w:tcW w:w="1088"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21"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73</w:t>
            </w:r>
          </w:p>
        </w:tc>
        <w:tc>
          <w:tcPr>
            <w:tcW w:w="1276"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4 645</w:t>
            </w:r>
          </w:p>
        </w:tc>
        <w:tc>
          <w:tcPr>
            <w:tcW w:w="1701" w:type="dxa"/>
            <w:tcBorders>
              <w:top w:val="double" w:sz="6" w:space="0" w:color="auto"/>
              <w:left w:val="nil"/>
              <w:bottom w:val="double" w:sz="6" w:space="0" w:color="auto"/>
              <w:right w:val="single" w:sz="4" w:space="0" w:color="auto"/>
            </w:tcBorders>
            <w:shd w:val="clear" w:color="auto" w:fill="auto"/>
            <w:noWrap/>
            <w:vAlign w:val="bottom"/>
            <w:hideMark/>
          </w:tcPr>
          <w:p w:rsidR="004126B5" w:rsidRPr="004126B5" w:rsidRDefault="004126B5" w:rsidP="004126B5">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2 077 714</w:t>
            </w:r>
          </w:p>
        </w:tc>
      </w:tr>
    </w:tbl>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Default="00AC78A0" w:rsidP="002E2502">
      <w:pPr>
        <w:jc w:val="both"/>
        <w:rPr>
          <w:rFonts w:ascii="Century Gothic" w:hAnsi="Century Gothic"/>
          <w:sz w:val="20"/>
          <w:szCs w:val="20"/>
        </w:rPr>
      </w:pPr>
    </w:p>
    <w:p w:rsidR="00472DA5" w:rsidRDefault="00472DA5" w:rsidP="002E2502">
      <w:pPr>
        <w:jc w:val="both"/>
        <w:rPr>
          <w:rFonts w:ascii="Century Gothic" w:hAnsi="Century Gothic"/>
          <w:sz w:val="20"/>
          <w:szCs w:val="20"/>
        </w:rPr>
      </w:pPr>
    </w:p>
    <w:p w:rsidR="00472DA5" w:rsidRPr="004126B5" w:rsidRDefault="00472DA5"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AC78A0" w:rsidRPr="004126B5" w:rsidRDefault="00AC78A0" w:rsidP="002E2502">
      <w:pPr>
        <w:jc w:val="both"/>
        <w:rPr>
          <w:rFonts w:ascii="Century Gothic" w:hAnsi="Century Gothic"/>
          <w:sz w:val="20"/>
          <w:szCs w:val="20"/>
        </w:rPr>
      </w:pPr>
    </w:p>
    <w:p w:rsidR="001351FF" w:rsidRPr="004126B5" w:rsidRDefault="001351FF" w:rsidP="002E2502">
      <w:pPr>
        <w:jc w:val="both"/>
        <w:rPr>
          <w:rFonts w:ascii="Century Gothic" w:hAnsi="Century Gothic"/>
          <w:sz w:val="20"/>
          <w:szCs w:val="20"/>
        </w:rPr>
      </w:pPr>
    </w:p>
    <w:tbl>
      <w:tblPr>
        <w:tblW w:w="10499" w:type="dxa"/>
        <w:tblInd w:w="-23" w:type="dxa"/>
        <w:tblCellMar>
          <w:left w:w="70" w:type="dxa"/>
          <w:right w:w="70" w:type="dxa"/>
        </w:tblCellMar>
        <w:tblLook w:val="04A0"/>
      </w:tblPr>
      <w:tblGrid>
        <w:gridCol w:w="460"/>
        <w:gridCol w:w="2659"/>
        <w:gridCol w:w="1615"/>
        <w:gridCol w:w="1503"/>
        <w:gridCol w:w="1300"/>
        <w:gridCol w:w="1142"/>
        <w:gridCol w:w="1820"/>
      </w:tblGrid>
      <w:tr w:rsidR="004126B5" w:rsidRPr="004126B5" w:rsidTr="00F130DF">
        <w:trPr>
          <w:trHeight w:val="315"/>
        </w:trPr>
        <w:tc>
          <w:tcPr>
            <w:tcW w:w="460" w:type="dxa"/>
            <w:tcBorders>
              <w:top w:val="double" w:sz="6" w:space="0" w:color="auto"/>
              <w:left w:val="double" w:sz="6" w:space="0" w:color="auto"/>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double" w:sz="6" w:space="0" w:color="auto"/>
              <w:left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double" w:sz="6" w:space="0" w:color="auto"/>
              <w:left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b/>
                <w:bCs/>
                <w:sz w:val="20"/>
                <w:szCs w:val="20"/>
                <w:lang w:eastAsia="hu-HU"/>
              </w:rPr>
            </w:pPr>
            <w:r w:rsidRPr="004126B5">
              <w:rPr>
                <w:rFonts w:ascii="Century Gothic" w:eastAsia="Times New Roman" w:hAnsi="Century Gothic" w:cs="Arial"/>
                <w:b/>
                <w:bCs/>
                <w:sz w:val="20"/>
                <w:szCs w:val="20"/>
                <w:lang w:eastAsia="hu-HU"/>
              </w:rPr>
              <w:t>Adóalanyok száma</w:t>
            </w:r>
          </w:p>
        </w:tc>
        <w:tc>
          <w:tcPr>
            <w:tcW w:w="1503" w:type="dxa"/>
            <w:tcBorders>
              <w:top w:val="double" w:sz="6" w:space="0" w:color="auto"/>
              <w:left w:val="nil"/>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4262" w:type="dxa"/>
            <w:gridSpan w:val="3"/>
            <w:tcBorders>
              <w:top w:val="double" w:sz="6" w:space="0" w:color="auto"/>
              <w:left w:val="nil"/>
              <w:right w:val="nil"/>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b/>
                <w:bCs/>
                <w:color w:val="000000"/>
                <w:sz w:val="20"/>
                <w:szCs w:val="20"/>
                <w:lang w:eastAsia="hu-HU"/>
              </w:rPr>
            </w:pPr>
            <w:r w:rsidRPr="004126B5">
              <w:rPr>
                <w:rFonts w:ascii="Century Gothic" w:eastAsia="Times New Roman" w:hAnsi="Century Gothic" w:cs="Arial"/>
                <w:b/>
                <w:bCs/>
                <w:color w:val="000000"/>
                <w:sz w:val="20"/>
                <w:szCs w:val="20"/>
                <w:lang w:eastAsia="hu-HU"/>
              </w:rPr>
              <w:t>Terület szerinti adózás esetén</w:t>
            </w:r>
          </w:p>
        </w:tc>
      </w:tr>
      <w:tr w:rsidR="00F130DF" w:rsidRPr="004126B5" w:rsidTr="00F130DF">
        <w:trPr>
          <w:trHeight w:val="259"/>
        </w:trPr>
        <w:tc>
          <w:tcPr>
            <w:tcW w:w="460" w:type="dxa"/>
            <w:tcBorders>
              <w:top w:val="nil"/>
              <w:left w:val="double" w:sz="6" w:space="0" w:color="auto"/>
              <w:bottom w:val="nil"/>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nil"/>
              <w:left w:val="nil"/>
              <w:bottom w:val="nil"/>
              <w:right w:val="single" w:sz="4" w:space="0" w:color="auto"/>
            </w:tcBorders>
            <w:shd w:val="clear" w:color="auto" w:fill="auto"/>
            <w:noWrap/>
            <w:vAlign w:val="bottom"/>
            <w:hideMark/>
          </w:tcPr>
          <w:p w:rsidR="00F130DF" w:rsidRDefault="00F130DF" w:rsidP="001218C9">
            <w:pPr>
              <w:spacing w:after="0" w:line="240" w:lineRule="auto"/>
              <w:jc w:val="center"/>
              <w:rPr>
                <w:rFonts w:ascii="Century Gothic" w:eastAsia="Times New Roman" w:hAnsi="Century Gothic" w:cs="Arial"/>
                <w:sz w:val="20"/>
                <w:szCs w:val="20"/>
                <w:lang w:eastAsia="hu-HU"/>
              </w:rPr>
            </w:pPr>
            <w:r>
              <w:rPr>
                <w:rFonts w:ascii="Century Gothic" w:eastAsia="Times New Roman" w:hAnsi="Century Gothic" w:cs="Arial"/>
                <w:sz w:val="20"/>
                <w:szCs w:val="20"/>
                <w:lang w:eastAsia="hu-HU"/>
              </w:rPr>
              <w:t>Építményadó kivetés 2021.</w:t>
            </w:r>
          </w:p>
          <w:p w:rsidR="001218C9" w:rsidRPr="004126B5" w:rsidRDefault="00F130DF" w:rsidP="001218C9">
            <w:pPr>
              <w:spacing w:after="0" w:line="240" w:lineRule="auto"/>
              <w:jc w:val="center"/>
              <w:rPr>
                <w:rFonts w:ascii="Century Gothic" w:eastAsia="Times New Roman" w:hAnsi="Century Gothic" w:cs="Arial"/>
                <w:sz w:val="20"/>
                <w:szCs w:val="20"/>
                <w:lang w:eastAsia="hu-HU"/>
              </w:rPr>
            </w:pPr>
            <w:r>
              <w:rPr>
                <w:rFonts w:ascii="Century Gothic" w:eastAsia="Times New Roman" w:hAnsi="Century Gothic" w:cs="Arial"/>
                <w:sz w:val="20"/>
                <w:szCs w:val="20"/>
                <w:lang w:eastAsia="hu-HU"/>
              </w:rPr>
              <w:t xml:space="preserve"> jogi személyek</w:t>
            </w:r>
            <w:r w:rsidR="001218C9"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tulajdonos vagy vagyoni</w:t>
            </w:r>
          </w:p>
        </w:tc>
        <w:tc>
          <w:tcPr>
            <w:tcW w:w="1503"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Adótárgyak </w:t>
            </w:r>
          </w:p>
        </w:tc>
        <w:tc>
          <w:tcPr>
            <w:tcW w:w="1142"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Terület</w:t>
            </w:r>
          </w:p>
        </w:tc>
        <w:tc>
          <w:tcPr>
            <w:tcW w:w="182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Adómegállapítás</w:t>
            </w:r>
          </w:p>
        </w:tc>
      </w:tr>
      <w:tr w:rsidR="00F130DF" w:rsidRPr="004126B5" w:rsidTr="00F130DF">
        <w:trPr>
          <w:trHeight w:val="300"/>
        </w:trPr>
        <w:tc>
          <w:tcPr>
            <w:tcW w:w="460" w:type="dxa"/>
            <w:tcBorders>
              <w:top w:val="nil"/>
              <w:left w:val="double" w:sz="6" w:space="0" w:color="auto"/>
              <w:bottom w:val="nil"/>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p>
        </w:tc>
        <w:tc>
          <w:tcPr>
            <w:tcW w:w="1615" w:type="dxa"/>
            <w:tcBorders>
              <w:top w:val="nil"/>
              <w:left w:val="nil"/>
              <w:bottom w:val="single" w:sz="4" w:space="0" w:color="auto"/>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értékű jog jogosítottja</w:t>
            </w:r>
          </w:p>
        </w:tc>
        <w:tc>
          <w:tcPr>
            <w:tcW w:w="1503" w:type="dxa"/>
            <w:tcBorders>
              <w:top w:val="nil"/>
              <w:left w:val="nil"/>
              <w:bottom w:val="single" w:sz="4" w:space="0" w:color="auto"/>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száma</w:t>
            </w:r>
          </w:p>
        </w:tc>
        <w:tc>
          <w:tcPr>
            <w:tcW w:w="1142"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(adóalap)</w:t>
            </w:r>
          </w:p>
        </w:tc>
        <w:tc>
          <w:tcPr>
            <w:tcW w:w="182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F130DF" w:rsidRPr="004126B5" w:rsidTr="00F130DF">
        <w:trPr>
          <w:trHeight w:val="300"/>
        </w:trPr>
        <w:tc>
          <w:tcPr>
            <w:tcW w:w="460" w:type="dxa"/>
            <w:tcBorders>
              <w:top w:val="nil"/>
              <w:left w:val="double" w:sz="6" w:space="0" w:color="auto"/>
              <w:bottom w:val="nil"/>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magánszemély</w:t>
            </w:r>
          </w:p>
        </w:tc>
        <w:tc>
          <w:tcPr>
            <w:tcW w:w="1503"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xml:space="preserve">egyéb </w:t>
            </w:r>
          </w:p>
        </w:tc>
        <w:tc>
          <w:tcPr>
            <w:tcW w:w="130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82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F130DF" w:rsidRPr="004126B5" w:rsidTr="00F130DF">
        <w:trPr>
          <w:trHeight w:val="300"/>
        </w:trPr>
        <w:tc>
          <w:tcPr>
            <w:tcW w:w="460" w:type="dxa"/>
            <w:tcBorders>
              <w:top w:val="nil"/>
              <w:left w:val="double" w:sz="6" w:space="0" w:color="auto"/>
              <w:bottom w:val="nil"/>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503"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adóalany</w:t>
            </w:r>
          </w:p>
        </w:tc>
        <w:tc>
          <w:tcPr>
            <w:tcW w:w="130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82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F130DF" w:rsidRPr="004126B5" w:rsidTr="00F130DF">
        <w:trPr>
          <w:trHeight w:val="390"/>
        </w:trPr>
        <w:tc>
          <w:tcPr>
            <w:tcW w:w="460" w:type="dxa"/>
            <w:tcBorders>
              <w:top w:val="nil"/>
              <w:left w:val="double" w:sz="6" w:space="0" w:color="auto"/>
              <w:bottom w:val="nil"/>
              <w:right w:val="nil"/>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rPr>
                <w:rFonts w:ascii="Century Gothic" w:eastAsia="Times New Roman" w:hAnsi="Century Gothic" w:cs="Arial"/>
                <w:sz w:val="20"/>
                <w:szCs w:val="20"/>
                <w:lang w:eastAsia="hu-HU"/>
              </w:rPr>
            </w:pPr>
          </w:p>
        </w:tc>
        <w:tc>
          <w:tcPr>
            <w:tcW w:w="1615" w:type="dxa"/>
            <w:tcBorders>
              <w:top w:val="nil"/>
              <w:left w:val="nil"/>
              <w:bottom w:val="nil"/>
              <w:right w:val="single" w:sz="4" w:space="0" w:color="auto"/>
            </w:tcBorders>
            <w:shd w:val="clear" w:color="auto" w:fill="auto"/>
            <w:noWrap/>
            <w:vAlign w:val="center"/>
            <w:hideMark/>
          </w:tcPr>
          <w:p w:rsidR="001218C9" w:rsidRPr="004126B5" w:rsidRDefault="001218C9" w:rsidP="001218C9">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w:t>
            </w:r>
          </w:p>
        </w:tc>
        <w:tc>
          <w:tcPr>
            <w:tcW w:w="1503"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 db)</w:t>
            </w:r>
          </w:p>
        </w:tc>
        <w:tc>
          <w:tcPr>
            <w:tcW w:w="130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(db)</w:t>
            </w:r>
          </w:p>
        </w:tc>
        <w:tc>
          <w:tcPr>
            <w:tcW w:w="1142"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(m</w:t>
            </w:r>
            <w:r w:rsidRPr="004126B5">
              <w:rPr>
                <w:rFonts w:ascii="Century Gothic" w:eastAsia="Times New Roman" w:hAnsi="Century Gothic" w:cs="Calibri"/>
                <w:color w:val="000000"/>
                <w:sz w:val="20"/>
                <w:szCs w:val="20"/>
                <w:vertAlign w:val="superscript"/>
                <w:lang w:eastAsia="hu-HU"/>
              </w:rPr>
              <w:t>2</w:t>
            </w:r>
            <w:r w:rsidRPr="004126B5">
              <w:rPr>
                <w:rFonts w:ascii="Century Gothic" w:eastAsia="Times New Roman" w:hAnsi="Century Gothic" w:cs="Calibri"/>
                <w:color w:val="000000"/>
                <w:sz w:val="20"/>
                <w:szCs w:val="20"/>
                <w:lang w:eastAsia="hu-HU"/>
              </w:rPr>
              <w:t>)</w:t>
            </w:r>
          </w:p>
        </w:tc>
        <w:tc>
          <w:tcPr>
            <w:tcW w:w="1820" w:type="dxa"/>
            <w:tcBorders>
              <w:top w:val="nil"/>
              <w:left w:val="nil"/>
              <w:bottom w:val="nil"/>
              <w:right w:val="single" w:sz="4" w:space="0" w:color="auto"/>
            </w:tcBorders>
            <w:shd w:val="clear" w:color="auto" w:fill="auto"/>
            <w:noWrap/>
            <w:vAlign w:val="bottom"/>
            <w:hideMark/>
          </w:tcPr>
          <w:p w:rsidR="001218C9" w:rsidRPr="004126B5" w:rsidRDefault="001218C9" w:rsidP="001218C9">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(Ft)</w:t>
            </w:r>
          </w:p>
        </w:tc>
      </w:tr>
      <w:tr w:rsidR="00F130DF" w:rsidRPr="004126B5" w:rsidTr="00F130DF">
        <w:trPr>
          <w:trHeight w:val="330"/>
        </w:trPr>
        <w:tc>
          <w:tcPr>
            <w:tcW w:w="460" w:type="dxa"/>
            <w:tcBorders>
              <w:top w:val="double" w:sz="6" w:space="0" w:color="auto"/>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2659"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w:t>
            </w:r>
          </w:p>
        </w:tc>
        <w:tc>
          <w:tcPr>
            <w:tcW w:w="1615"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380</w:t>
            </w:r>
          </w:p>
        </w:tc>
        <w:tc>
          <w:tcPr>
            <w:tcW w:w="1820" w:type="dxa"/>
            <w:tcBorders>
              <w:top w:val="double" w:sz="6" w:space="0" w:color="auto"/>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274 707</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a)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adóköteles adóalapja [1-(2+3+4+5)]</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380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274 707</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adója</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380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274 707</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8.</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fizetendő adója [7-8]</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380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274 707</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325</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210 550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11.</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12.</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adóköteles adóalapja [10-(11+12)]</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325</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210 550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adója</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325</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210 550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15.</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16.</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fizetendő adója [14-15]</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325</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210 550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17.</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952</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542 540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18.</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19.</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20.</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lastRenderedPageBreak/>
              <w:t>21.</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adóköteles adóalapja</w:t>
            </w:r>
            <w:r w:rsidRPr="004126B5">
              <w:rPr>
                <w:rFonts w:ascii="Century Gothic" w:eastAsia="Times New Roman" w:hAnsi="Century Gothic" w:cs="Arial"/>
                <w:b/>
                <w:bCs/>
                <w:color w:val="222222"/>
                <w:sz w:val="20"/>
                <w:szCs w:val="20"/>
                <w:lang w:eastAsia="hu-HU"/>
              </w:rPr>
              <w:br/>
              <w:t>[17-(18+19+20+21)]</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952</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542 540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23.</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adója</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952</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542 540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24.</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fizetendő adója [23-24]</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952</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542 540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26.</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86</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77 400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27.</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28.</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29.</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30.</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31.</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adóköteles adóalapja [26-(27+28+29+30)]</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86</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77 400</w:t>
            </w:r>
          </w:p>
        </w:tc>
      </w:tr>
      <w:tr w:rsidR="00F130DF" w:rsidRPr="004126B5" w:rsidTr="00F130DF">
        <w:trPr>
          <w:trHeight w:val="458"/>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adója</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86</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77 400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33.</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fizetendő adója [32-33]</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86</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77 400</w:t>
            </w:r>
          </w:p>
        </w:tc>
      </w:tr>
      <w:tr w:rsidR="00F130DF" w:rsidRPr="004126B5" w:rsidTr="00F130DF">
        <w:trPr>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35.</w:t>
            </w:r>
          </w:p>
        </w:tc>
        <w:tc>
          <w:tcPr>
            <w:tcW w:w="2659"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nem lakás, üdülő céljára szolgáló építmény</w:t>
            </w:r>
          </w:p>
        </w:tc>
        <w:tc>
          <w:tcPr>
            <w:tcW w:w="1615"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12</w:t>
            </w:r>
          </w:p>
        </w:tc>
        <w:tc>
          <w:tcPr>
            <w:tcW w:w="1142"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1 503</w:t>
            </w:r>
          </w:p>
        </w:tc>
        <w:tc>
          <w:tcPr>
            <w:tcW w:w="1820" w:type="dxa"/>
            <w:tcBorders>
              <w:top w:val="nil"/>
              <w:left w:val="nil"/>
              <w:bottom w:val="single" w:sz="4" w:space="0" w:color="auto"/>
              <w:right w:val="single" w:sz="4" w:space="0" w:color="auto"/>
            </w:tcBorders>
            <w:shd w:val="clear" w:color="auto" w:fill="auto"/>
            <w:vAlign w:val="center"/>
            <w:hideMark/>
          </w:tcPr>
          <w:p w:rsidR="001218C9" w:rsidRPr="004126B5" w:rsidRDefault="001218C9"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1 124 173</w:t>
            </w:r>
          </w:p>
        </w:tc>
      </w:tr>
      <w:tr w:rsidR="00F130DF" w:rsidRPr="004126B5" w:rsidTr="00F130DF">
        <w:trPr>
          <w:trHeight w:val="443"/>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36.</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37.</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38.</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39.</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16</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6 980</w:t>
            </w:r>
          </w:p>
        </w:tc>
      </w:tr>
      <w:tr w:rsidR="00F130DF" w:rsidRPr="004126B5" w:rsidTr="00F130DF">
        <w:trPr>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40.</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adóköteles adóalapja</w:t>
            </w:r>
            <w:r w:rsidRPr="004126B5">
              <w:rPr>
                <w:rFonts w:ascii="Century Gothic" w:eastAsia="Times New Roman" w:hAnsi="Century Gothic" w:cs="Arial"/>
                <w:b/>
                <w:bCs/>
                <w:color w:val="222222"/>
                <w:sz w:val="20"/>
                <w:szCs w:val="20"/>
                <w:lang w:eastAsia="hu-HU"/>
              </w:rPr>
              <w:br/>
              <w:t>[35-(36+37+38+39)]</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1 503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1 124 173</w:t>
            </w:r>
          </w:p>
        </w:tc>
      </w:tr>
      <w:tr w:rsidR="00F130DF" w:rsidRPr="004126B5" w:rsidTr="00F130DF">
        <w:trPr>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42.</w:t>
            </w:r>
          </w:p>
        </w:tc>
        <w:tc>
          <w:tcPr>
            <w:tcW w:w="2659"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503"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F130DF" w:rsidRPr="004126B5" w:rsidTr="00F130DF">
        <w:trPr>
          <w:trHeight w:val="300"/>
        </w:trPr>
        <w:tc>
          <w:tcPr>
            <w:tcW w:w="460" w:type="dxa"/>
            <w:tcBorders>
              <w:top w:val="nil"/>
              <w:left w:val="double" w:sz="6" w:space="0" w:color="auto"/>
              <w:bottom w:val="nil"/>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43.</w:t>
            </w:r>
          </w:p>
        </w:tc>
        <w:tc>
          <w:tcPr>
            <w:tcW w:w="2659"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fizetendő adója [41-42]</w:t>
            </w:r>
          </w:p>
        </w:tc>
        <w:tc>
          <w:tcPr>
            <w:tcW w:w="1615"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503"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w:t>
            </w:r>
          </w:p>
        </w:tc>
        <w:tc>
          <w:tcPr>
            <w:tcW w:w="1300"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11</w:t>
            </w:r>
          </w:p>
        </w:tc>
        <w:tc>
          <w:tcPr>
            <w:tcW w:w="1142"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1 503</w:t>
            </w:r>
          </w:p>
        </w:tc>
        <w:tc>
          <w:tcPr>
            <w:tcW w:w="1820" w:type="dxa"/>
            <w:tcBorders>
              <w:top w:val="nil"/>
              <w:left w:val="nil"/>
              <w:bottom w:val="nil"/>
              <w:right w:val="single" w:sz="4" w:space="0" w:color="auto"/>
            </w:tcBorders>
            <w:shd w:val="clear" w:color="auto" w:fill="auto"/>
            <w:vAlign w:val="center"/>
            <w:hideMark/>
          </w:tcPr>
          <w:p w:rsidR="00AA40ED" w:rsidRPr="004126B5" w:rsidRDefault="00AA40ED" w:rsidP="001218C9">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1 124 173</w:t>
            </w:r>
          </w:p>
        </w:tc>
      </w:tr>
      <w:tr w:rsidR="00F130DF" w:rsidRPr="004126B5" w:rsidTr="00F130DF">
        <w:trPr>
          <w:trHeight w:val="469"/>
        </w:trPr>
        <w:tc>
          <w:tcPr>
            <w:tcW w:w="46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659"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Összes fizetendő adó (9+16+25+34+43)</w:t>
            </w:r>
          </w:p>
        </w:tc>
        <w:tc>
          <w:tcPr>
            <w:tcW w:w="1615"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503"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15</w:t>
            </w:r>
          </w:p>
        </w:tc>
        <w:tc>
          <w:tcPr>
            <w:tcW w:w="1300"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26</w:t>
            </w:r>
          </w:p>
        </w:tc>
        <w:tc>
          <w:tcPr>
            <w:tcW w:w="1142"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3 246</w:t>
            </w:r>
          </w:p>
        </w:tc>
        <w:tc>
          <w:tcPr>
            <w:tcW w:w="1820"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1218C9">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2 229 370</w:t>
            </w:r>
          </w:p>
        </w:tc>
      </w:tr>
    </w:tbl>
    <w:p w:rsidR="001351FF" w:rsidRPr="004126B5" w:rsidRDefault="001351FF" w:rsidP="002E2502">
      <w:pPr>
        <w:jc w:val="both"/>
        <w:rPr>
          <w:rFonts w:ascii="Century Gothic" w:hAnsi="Century Gothic"/>
          <w:sz w:val="20"/>
          <w:szCs w:val="20"/>
        </w:rPr>
      </w:pPr>
    </w:p>
    <w:tbl>
      <w:tblPr>
        <w:tblW w:w="18308" w:type="dxa"/>
        <w:tblCellMar>
          <w:left w:w="70" w:type="dxa"/>
          <w:right w:w="70" w:type="dxa"/>
        </w:tblCellMar>
        <w:tblLook w:val="04A0"/>
      </w:tblPr>
      <w:tblGrid>
        <w:gridCol w:w="460"/>
        <w:gridCol w:w="3084"/>
        <w:gridCol w:w="1615"/>
        <w:gridCol w:w="1088"/>
        <w:gridCol w:w="1300"/>
        <w:gridCol w:w="1142"/>
        <w:gridCol w:w="1820"/>
        <w:gridCol w:w="7799"/>
      </w:tblGrid>
      <w:tr w:rsidR="00F130DF" w:rsidRPr="004126B5" w:rsidTr="00F130DF">
        <w:trPr>
          <w:trHeight w:val="405"/>
        </w:trPr>
        <w:tc>
          <w:tcPr>
            <w:tcW w:w="18308" w:type="dxa"/>
            <w:gridSpan w:val="8"/>
            <w:tcBorders>
              <w:top w:val="nil"/>
              <w:left w:val="nil"/>
              <w:bottom w:val="nil"/>
              <w:right w:val="nil"/>
            </w:tcBorders>
            <w:shd w:val="clear" w:color="auto" w:fill="auto"/>
            <w:noWrap/>
            <w:vAlign w:val="bottom"/>
            <w:hideMark/>
          </w:tcPr>
          <w:p w:rsidR="00F130DF" w:rsidRDefault="00F130DF" w:rsidP="00AA40ED">
            <w:pPr>
              <w:spacing w:after="0" w:line="240" w:lineRule="auto"/>
              <w:rPr>
                <w:rFonts w:ascii="Century Gothic" w:eastAsia="Times New Roman" w:hAnsi="Century Gothic" w:cs="Times New Roman"/>
                <w:b/>
                <w:sz w:val="20"/>
                <w:szCs w:val="20"/>
                <w:highlight w:val="yellow"/>
                <w:lang w:eastAsia="hu-HU"/>
              </w:rPr>
            </w:pPr>
          </w:p>
          <w:p w:rsidR="00F130DF" w:rsidRDefault="00F130DF" w:rsidP="00AA40ED">
            <w:pPr>
              <w:spacing w:after="0" w:line="240" w:lineRule="auto"/>
              <w:rPr>
                <w:rFonts w:ascii="Century Gothic" w:eastAsia="Times New Roman" w:hAnsi="Century Gothic" w:cs="Times New Roman"/>
                <w:b/>
                <w:sz w:val="20"/>
                <w:szCs w:val="20"/>
                <w:lang w:eastAsia="hu-HU"/>
              </w:rPr>
            </w:pPr>
          </w:p>
          <w:p w:rsidR="00F130DF" w:rsidRDefault="00F130DF" w:rsidP="00AA40ED">
            <w:pPr>
              <w:spacing w:after="0" w:line="240" w:lineRule="auto"/>
              <w:rPr>
                <w:rFonts w:ascii="Century Gothic" w:eastAsia="Times New Roman" w:hAnsi="Century Gothic" w:cs="Times New Roman"/>
                <w:b/>
                <w:sz w:val="20"/>
                <w:szCs w:val="20"/>
                <w:lang w:eastAsia="hu-HU"/>
              </w:rPr>
            </w:pPr>
          </w:p>
          <w:p w:rsidR="00F130DF" w:rsidRDefault="00F130DF"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472DA5" w:rsidRDefault="00472DA5" w:rsidP="00AA40ED">
            <w:pPr>
              <w:spacing w:after="0" w:line="240" w:lineRule="auto"/>
              <w:rPr>
                <w:rFonts w:ascii="Century Gothic" w:eastAsia="Times New Roman" w:hAnsi="Century Gothic" w:cs="Times New Roman"/>
                <w:b/>
                <w:sz w:val="20"/>
                <w:szCs w:val="20"/>
                <w:lang w:eastAsia="hu-HU"/>
              </w:rPr>
            </w:pPr>
          </w:p>
          <w:p w:rsidR="00F130DF" w:rsidRPr="004126B5" w:rsidRDefault="00F130DF" w:rsidP="00AA40ED">
            <w:pPr>
              <w:spacing w:after="0" w:line="240" w:lineRule="auto"/>
              <w:rPr>
                <w:rFonts w:ascii="Century Gothic" w:eastAsia="Times New Roman" w:hAnsi="Century Gothic" w:cs="Times New Roman"/>
                <w:sz w:val="20"/>
                <w:szCs w:val="20"/>
                <w:lang w:eastAsia="hu-HU"/>
              </w:rPr>
            </w:pPr>
          </w:p>
        </w:tc>
      </w:tr>
      <w:tr w:rsidR="00AA40ED" w:rsidRPr="004126B5" w:rsidTr="00F130DF">
        <w:trPr>
          <w:gridAfter w:val="1"/>
          <w:wAfter w:w="7799" w:type="dxa"/>
          <w:trHeight w:val="315"/>
        </w:trPr>
        <w:tc>
          <w:tcPr>
            <w:tcW w:w="460" w:type="dxa"/>
            <w:tcBorders>
              <w:top w:val="double" w:sz="6" w:space="0" w:color="auto"/>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lastRenderedPageBreak/>
              <w:t> </w:t>
            </w:r>
          </w:p>
        </w:tc>
        <w:tc>
          <w:tcPr>
            <w:tcW w:w="3084" w:type="dxa"/>
            <w:tcBorders>
              <w:top w:val="double" w:sz="6" w:space="0" w:color="auto"/>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double" w:sz="6" w:space="0" w:color="auto"/>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b/>
                <w:bCs/>
                <w:sz w:val="20"/>
                <w:szCs w:val="20"/>
                <w:lang w:eastAsia="hu-HU"/>
              </w:rPr>
            </w:pPr>
            <w:r w:rsidRPr="004126B5">
              <w:rPr>
                <w:rFonts w:ascii="Century Gothic" w:eastAsia="Times New Roman" w:hAnsi="Century Gothic" w:cs="Arial"/>
                <w:b/>
                <w:bCs/>
                <w:sz w:val="20"/>
                <w:szCs w:val="20"/>
                <w:lang w:eastAsia="hu-HU"/>
              </w:rPr>
              <w:t>Adóalanyok száma</w:t>
            </w:r>
          </w:p>
        </w:tc>
        <w:tc>
          <w:tcPr>
            <w:tcW w:w="1088" w:type="dxa"/>
            <w:tcBorders>
              <w:top w:val="double" w:sz="6" w:space="0" w:color="auto"/>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4262" w:type="dxa"/>
            <w:gridSpan w:val="3"/>
            <w:tcBorders>
              <w:top w:val="double" w:sz="6" w:space="0" w:color="auto"/>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b/>
                <w:bCs/>
                <w:color w:val="000000"/>
                <w:sz w:val="20"/>
                <w:szCs w:val="20"/>
                <w:lang w:eastAsia="hu-HU"/>
              </w:rPr>
            </w:pPr>
            <w:r w:rsidRPr="004126B5">
              <w:rPr>
                <w:rFonts w:ascii="Century Gothic" w:eastAsia="Times New Roman" w:hAnsi="Century Gothic" w:cs="Arial"/>
                <w:b/>
                <w:bCs/>
                <w:color w:val="000000"/>
                <w:sz w:val="20"/>
                <w:szCs w:val="20"/>
                <w:lang w:eastAsia="hu-HU"/>
              </w:rPr>
              <w:t>Terület szerinti adózás esetén</w:t>
            </w:r>
          </w:p>
        </w:tc>
      </w:tr>
      <w:tr w:rsidR="004126B5" w:rsidRPr="004126B5" w:rsidTr="00F130DF">
        <w:trPr>
          <w:gridAfter w:val="1"/>
          <w:wAfter w:w="7799" w:type="dxa"/>
          <w:trHeight w:val="259"/>
        </w:trPr>
        <w:tc>
          <w:tcPr>
            <w:tcW w:w="460" w:type="dxa"/>
            <w:tcBorders>
              <w:top w:val="nil"/>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tulajdonos vagy vagyoni</w:t>
            </w:r>
          </w:p>
        </w:tc>
        <w:tc>
          <w:tcPr>
            <w:tcW w:w="1088"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Adótárgyak </w:t>
            </w:r>
          </w:p>
        </w:tc>
        <w:tc>
          <w:tcPr>
            <w:tcW w:w="1142"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Terület</w:t>
            </w:r>
          </w:p>
        </w:tc>
        <w:tc>
          <w:tcPr>
            <w:tcW w:w="182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Adómegállapítás</w:t>
            </w:r>
          </w:p>
        </w:tc>
      </w:tr>
      <w:tr w:rsidR="004126B5" w:rsidRPr="004126B5" w:rsidTr="00F130DF">
        <w:trPr>
          <w:gridAfter w:val="1"/>
          <w:wAfter w:w="7799" w:type="dxa"/>
          <w:trHeight w:val="638"/>
        </w:trPr>
        <w:tc>
          <w:tcPr>
            <w:tcW w:w="460" w:type="dxa"/>
            <w:tcBorders>
              <w:top w:val="nil"/>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nil"/>
              <w:left w:val="nil"/>
              <w:bottom w:val="nil"/>
              <w:right w:val="single" w:sz="4" w:space="0" w:color="auto"/>
            </w:tcBorders>
            <w:shd w:val="clear" w:color="auto" w:fill="auto"/>
            <w:noWrap/>
            <w:vAlign w:val="bottom"/>
            <w:hideMark/>
          </w:tcPr>
          <w:p w:rsidR="00F130DF" w:rsidRPr="00F130DF" w:rsidRDefault="00F130DF" w:rsidP="00F130DF">
            <w:pPr>
              <w:spacing w:after="0" w:line="240" w:lineRule="auto"/>
              <w:jc w:val="center"/>
              <w:rPr>
                <w:rFonts w:ascii="Century Gothic" w:eastAsia="Times New Roman" w:hAnsi="Century Gothic" w:cs="Arial"/>
                <w:b/>
                <w:sz w:val="20"/>
                <w:szCs w:val="20"/>
                <w:lang w:eastAsia="hu-HU"/>
              </w:rPr>
            </w:pPr>
            <w:r w:rsidRPr="00F130DF">
              <w:rPr>
                <w:rFonts w:ascii="Century Gothic" w:eastAsia="Times New Roman" w:hAnsi="Century Gothic" w:cs="Arial"/>
                <w:b/>
                <w:sz w:val="20"/>
                <w:szCs w:val="20"/>
                <w:lang w:eastAsia="hu-HU"/>
              </w:rPr>
              <w:t>Építményadó kivetés</w:t>
            </w:r>
          </w:p>
          <w:p w:rsidR="00AA40ED" w:rsidRPr="00F130DF" w:rsidRDefault="00F130DF" w:rsidP="00F130DF">
            <w:pPr>
              <w:spacing w:after="0" w:line="240" w:lineRule="auto"/>
              <w:jc w:val="center"/>
              <w:rPr>
                <w:rFonts w:ascii="Century Gothic" w:eastAsia="Times New Roman" w:hAnsi="Century Gothic" w:cs="Arial"/>
                <w:b/>
                <w:sz w:val="20"/>
                <w:szCs w:val="20"/>
                <w:lang w:eastAsia="hu-HU"/>
              </w:rPr>
            </w:pPr>
            <w:r w:rsidRPr="00F130DF">
              <w:rPr>
                <w:rFonts w:ascii="Century Gothic" w:eastAsia="Times New Roman" w:hAnsi="Century Gothic" w:cs="Arial"/>
                <w:b/>
                <w:sz w:val="20"/>
                <w:szCs w:val="20"/>
                <w:lang w:eastAsia="hu-HU"/>
              </w:rPr>
              <w:t>2021.</w:t>
            </w:r>
          </w:p>
          <w:p w:rsidR="00F130DF" w:rsidRPr="004126B5" w:rsidRDefault="00F130DF" w:rsidP="00F130DF">
            <w:pPr>
              <w:spacing w:after="0" w:line="240" w:lineRule="auto"/>
              <w:jc w:val="center"/>
              <w:rPr>
                <w:rFonts w:ascii="Century Gothic" w:eastAsia="Times New Roman" w:hAnsi="Century Gothic" w:cs="Arial"/>
                <w:sz w:val="20"/>
                <w:szCs w:val="20"/>
                <w:lang w:eastAsia="hu-HU"/>
              </w:rPr>
            </w:pPr>
            <w:r w:rsidRPr="00F130DF">
              <w:rPr>
                <w:rFonts w:ascii="Century Gothic" w:eastAsia="Times New Roman" w:hAnsi="Century Gothic" w:cs="Arial"/>
                <w:b/>
                <w:sz w:val="20"/>
                <w:szCs w:val="20"/>
                <w:lang w:eastAsia="hu-HU"/>
              </w:rPr>
              <w:t>magánszemélyek</w:t>
            </w:r>
          </w:p>
        </w:tc>
        <w:tc>
          <w:tcPr>
            <w:tcW w:w="1615"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értékű jog jogosítottja</w:t>
            </w:r>
          </w:p>
        </w:tc>
        <w:tc>
          <w:tcPr>
            <w:tcW w:w="1088"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száma</w:t>
            </w:r>
          </w:p>
        </w:tc>
        <w:tc>
          <w:tcPr>
            <w:tcW w:w="1142"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(adóalap)</w:t>
            </w:r>
          </w:p>
        </w:tc>
        <w:tc>
          <w:tcPr>
            <w:tcW w:w="182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F130DF">
        <w:trPr>
          <w:gridAfter w:val="1"/>
          <w:wAfter w:w="7799" w:type="dxa"/>
          <w:trHeight w:val="300"/>
        </w:trPr>
        <w:tc>
          <w:tcPr>
            <w:tcW w:w="460" w:type="dxa"/>
            <w:tcBorders>
              <w:top w:val="nil"/>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magánszemély</w:t>
            </w:r>
          </w:p>
        </w:tc>
        <w:tc>
          <w:tcPr>
            <w:tcW w:w="1088"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xml:space="preserve">egyéb </w:t>
            </w:r>
          </w:p>
        </w:tc>
        <w:tc>
          <w:tcPr>
            <w:tcW w:w="130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82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F130DF">
        <w:trPr>
          <w:gridAfter w:val="1"/>
          <w:wAfter w:w="7799" w:type="dxa"/>
          <w:trHeight w:val="300"/>
        </w:trPr>
        <w:tc>
          <w:tcPr>
            <w:tcW w:w="460" w:type="dxa"/>
            <w:tcBorders>
              <w:top w:val="nil"/>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088"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adóalany</w:t>
            </w:r>
          </w:p>
        </w:tc>
        <w:tc>
          <w:tcPr>
            <w:tcW w:w="130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c>
          <w:tcPr>
            <w:tcW w:w="182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w:t>
            </w:r>
          </w:p>
        </w:tc>
      </w:tr>
      <w:tr w:rsidR="004126B5" w:rsidRPr="004126B5" w:rsidTr="00F130DF">
        <w:trPr>
          <w:gridAfter w:val="1"/>
          <w:wAfter w:w="7799" w:type="dxa"/>
          <w:trHeight w:val="80"/>
        </w:trPr>
        <w:tc>
          <w:tcPr>
            <w:tcW w:w="460" w:type="dxa"/>
            <w:tcBorders>
              <w:top w:val="nil"/>
              <w:left w:val="double" w:sz="6" w:space="0" w:color="auto"/>
              <w:bottom w:val="nil"/>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center"/>
            <w:hideMark/>
          </w:tcPr>
          <w:p w:rsidR="00AA40ED" w:rsidRPr="004126B5" w:rsidRDefault="00AA40ED" w:rsidP="00AA40ED">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w:t>
            </w:r>
          </w:p>
        </w:tc>
        <w:tc>
          <w:tcPr>
            <w:tcW w:w="1088"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(fő, db)</w:t>
            </w:r>
          </w:p>
        </w:tc>
        <w:tc>
          <w:tcPr>
            <w:tcW w:w="130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(db)</w:t>
            </w:r>
          </w:p>
        </w:tc>
        <w:tc>
          <w:tcPr>
            <w:tcW w:w="1142"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(m</w:t>
            </w:r>
            <w:r w:rsidRPr="004126B5">
              <w:rPr>
                <w:rFonts w:ascii="Century Gothic" w:eastAsia="Times New Roman" w:hAnsi="Century Gothic" w:cs="Calibri"/>
                <w:color w:val="000000"/>
                <w:sz w:val="20"/>
                <w:szCs w:val="20"/>
                <w:vertAlign w:val="superscript"/>
                <w:lang w:eastAsia="hu-HU"/>
              </w:rPr>
              <w:t>2</w:t>
            </w:r>
            <w:r w:rsidRPr="004126B5">
              <w:rPr>
                <w:rFonts w:ascii="Century Gothic" w:eastAsia="Times New Roman" w:hAnsi="Century Gothic" w:cs="Calibri"/>
                <w:color w:val="000000"/>
                <w:sz w:val="20"/>
                <w:szCs w:val="20"/>
                <w:lang w:eastAsia="hu-HU"/>
              </w:rPr>
              <w:t>)</w:t>
            </w:r>
          </w:p>
        </w:tc>
        <w:tc>
          <w:tcPr>
            <w:tcW w:w="1820" w:type="dxa"/>
            <w:tcBorders>
              <w:top w:val="nil"/>
              <w:left w:val="nil"/>
              <w:bottom w:val="nil"/>
              <w:right w:val="single" w:sz="4" w:space="0" w:color="auto"/>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(Ft)</w:t>
            </w:r>
          </w:p>
        </w:tc>
      </w:tr>
      <w:tr w:rsidR="004126B5" w:rsidRPr="004126B5" w:rsidTr="00F130DF">
        <w:trPr>
          <w:gridAfter w:val="1"/>
          <w:wAfter w:w="7799" w:type="dxa"/>
          <w:trHeight w:val="330"/>
        </w:trPr>
        <w:tc>
          <w:tcPr>
            <w:tcW w:w="460" w:type="dxa"/>
            <w:tcBorders>
              <w:top w:val="double" w:sz="6" w:space="0" w:color="auto"/>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w:t>
            </w:r>
          </w:p>
        </w:tc>
        <w:tc>
          <w:tcPr>
            <w:tcW w:w="3084"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w:t>
            </w:r>
          </w:p>
        </w:tc>
        <w:tc>
          <w:tcPr>
            <w:tcW w:w="1615"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225</w:t>
            </w:r>
          </w:p>
        </w:tc>
        <w:tc>
          <w:tcPr>
            <w:tcW w:w="1088"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307</w:t>
            </w:r>
          </w:p>
        </w:tc>
        <w:tc>
          <w:tcPr>
            <w:tcW w:w="1142"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22 753</w:t>
            </w:r>
          </w:p>
        </w:tc>
        <w:tc>
          <w:tcPr>
            <w:tcW w:w="1820" w:type="dxa"/>
            <w:tcBorders>
              <w:top w:val="double" w:sz="6" w:space="0" w:color="auto"/>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10 747 513</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a)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42</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37 800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adóköteles adóalapja [1-(2+3+4+5)]</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225</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306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22 711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10 709 713</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7.</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225</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306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22 753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10 747 519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8.</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9.</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Lakás fizetendő adója [7-8]</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225</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306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22 753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10 747 519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418</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481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24 401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10 957 714</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11.</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12.</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15</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6 750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adóköteles adóalapja [10-(11+12)]</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418</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480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24 386</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10 950 964</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14.</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418</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480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24 401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10 957 720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15.</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16.</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Üdülő fizetendő adója [14-15]</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418</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480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24 401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10 957 720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17.</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1 023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613 949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18.</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19.</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lastRenderedPageBreak/>
              <w:t>20.</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21.</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22.</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adóköteles adóalapja</w:t>
            </w:r>
            <w:r w:rsidRPr="004126B5">
              <w:rPr>
                <w:rFonts w:ascii="Century Gothic" w:eastAsia="Times New Roman" w:hAnsi="Century Gothic" w:cs="Arial"/>
                <w:b/>
                <w:bCs/>
                <w:color w:val="222222"/>
                <w:sz w:val="20"/>
                <w:szCs w:val="20"/>
                <w:lang w:eastAsia="hu-HU"/>
              </w:rPr>
              <w:br/>
              <w:t>[17-(18+19+20+21)]</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1 023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613 949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23.</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1 023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613 949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24.</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25.</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Kereskedelmi egység fizetendő adója [23-24]</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13</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1 023</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613 949</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26.</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1 008</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497 750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27.</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28.</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29.</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30.</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31.</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adóköteles adóalapja [26-(27+28+29+30)]</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1 008</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497 750</w:t>
            </w:r>
          </w:p>
        </w:tc>
      </w:tr>
      <w:tr w:rsidR="004126B5" w:rsidRPr="004126B5" w:rsidTr="00F130DF">
        <w:trPr>
          <w:gridAfter w:val="1"/>
          <w:wAfter w:w="7799" w:type="dxa"/>
          <w:trHeight w:val="458"/>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32.</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1 008</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497 750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33.</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34.</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Szállásépület fizetendő adója [32-33]</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6</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1 008</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497 750</w:t>
            </w:r>
          </w:p>
        </w:tc>
      </w:tr>
      <w:tr w:rsidR="004126B5" w:rsidRPr="004126B5" w:rsidTr="00F130DF">
        <w:trPr>
          <w:gridAfter w:val="1"/>
          <w:wAfter w:w="7799" w:type="dxa"/>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35.</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nem lakás, üdülő céljára szolgáló építmény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200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391</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10 341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2 950 394</w:t>
            </w:r>
          </w:p>
        </w:tc>
      </w:tr>
      <w:tr w:rsidR="004126B5" w:rsidRPr="004126B5" w:rsidTr="00F130DF">
        <w:trPr>
          <w:gridAfter w:val="1"/>
          <w:wAfter w:w="7799" w:type="dxa"/>
          <w:trHeight w:val="443"/>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36.</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b)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37.</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 xml:space="preserve">Htv. 13. § </w:t>
            </w:r>
            <w:r w:rsidRPr="004126B5">
              <w:rPr>
                <w:rFonts w:ascii="Century Gothic" w:eastAsia="Times New Roman" w:hAnsi="Century Gothic" w:cs="Arial"/>
                <w:i/>
                <w:iCs/>
                <w:color w:val="333333"/>
                <w:sz w:val="20"/>
                <w:szCs w:val="20"/>
                <w:lang w:eastAsia="hu-HU"/>
              </w:rPr>
              <w:t xml:space="preserve">h) </w:t>
            </w:r>
            <w:r w:rsidRPr="004126B5">
              <w:rPr>
                <w:rFonts w:ascii="Century Gothic" w:eastAsia="Times New Roman" w:hAnsi="Century Gothic" w:cs="Arial"/>
                <w:color w:val="333333"/>
                <w:sz w:val="20"/>
                <w:szCs w:val="20"/>
                <w:lang w:eastAsia="hu-HU"/>
              </w:rPr>
              <w:t>pontja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106</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26 626</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38.</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Htv. 13/A. §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39.</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mentes</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6</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53</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768</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342 570</w:t>
            </w:r>
          </w:p>
        </w:tc>
      </w:tr>
      <w:tr w:rsidR="004126B5" w:rsidRPr="004126B5" w:rsidTr="00F130DF">
        <w:trPr>
          <w:gridAfter w:val="1"/>
          <w:wAfter w:w="7799" w:type="dxa"/>
          <w:trHeight w:val="48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40.</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adóköteles adóalapja</w:t>
            </w:r>
            <w:r w:rsidRPr="004126B5">
              <w:rPr>
                <w:rFonts w:ascii="Century Gothic" w:eastAsia="Times New Roman" w:hAnsi="Century Gothic" w:cs="Arial"/>
                <w:b/>
                <w:bCs/>
                <w:color w:val="222222"/>
                <w:sz w:val="20"/>
                <w:szCs w:val="20"/>
                <w:lang w:eastAsia="hu-HU"/>
              </w:rPr>
              <w:br/>
              <w:t>[35-(36+37+38+39)]</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190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41.</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adója</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196</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374</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10 341</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2 950 407</w:t>
            </w:r>
          </w:p>
        </w:tc>
      </w:tr>
      <w:tr w:rsidR="004126B5" w:rsidRPr="004126B5" w:rsidTr="00F130DF">
        <w:trPr>
          <w:gridAfter w:val="1"/>
          <w:wAfter w:w="7799" w:type="dxa"/>
          <w:trHeight w:val="300"/>
        </w:trPr>
        <w:tc>
          <w:tcPr>
            <w:tcW w:w="460" w:type="dxa"/>
            <w:tcBorders>
              <w:top w:val="nil"/>
              <w:left w:val="double" w:sz="6" w:space="0" w:color="auto"/>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42.</w:t>
            </w:r>
          </w:p>
        </w:tc>
        <w:tc>
          <w:tcPr>
            <w:tcW w:w="3084"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Önkormányzati döntés alapján kedvezmény</w:t>
            </w:r>
          </w:p>
        </w:tc>
        <w:tc>
          <w:tcPr>
            <w:tcW w:w="1615"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088"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30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142"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c>
          <w:tcPr>
            <w:tcW w:w="1820" w:type="dxa"/>
            <w:tcBorders>
              <w:top w:val="nil"/>
              <w:left w:val="nil"/>
              <w:bottom w:val="single" w:sz="4" w:space="0" w:color="auto"/>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color w:val="222222"/>
                <w:sz w:val="20"/>
                <w:szCs w:val="20"/>
                <w:lang w:eastAsia="hu-HU"/>
              </w:rPr>
            </w:pPr>
            <w:r w:rsidRPr="004126B5">
              <w:rPr>
                <w:rFonts w:ascii="Century Gothic" w:eastAsia="Times New Roman" w:hAnsi="Century Gothic" w:cs="Arial"/>
                <w:color w:val="222222"/>
                <w:sz w:val="20"/>
                <w:szCs w:val="20"/>
                <w:lang w:eastAsia="hu-HU"/>
              </w:rPr>
              <w:t>0</w:t>
            </w:r>
          </w:p>
        </w:tc>
      </w:tr>
      <w:tr w:rsidR="004126B5" w:rsidRPr="004126B5" w:rsidTr="00F130DF">
        <w:trPr>
          <w:gridAfter w:val="1"/>
          <w:wAfter w:w="7799" w:type="dxa"/>
          <w:trHeight w:val="300"/>
        </w:trPr>
        <w:tc>
          <w:tcPr>
            <w:tcW w:w="460" w:type="dxa"/>
            <w:tcBorders>
              <w:top w:val="nil"/>
              <w:left w:val="double" w:sz="6" w:space="0" w:color="auto"/>
              <w:bottom w:val="nil"/>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43.</w:t>
            </w:r>
          </w:p>
        </w:tc>
        <w:tc>
          <w:tcPr>
            <w:tcW w:w="3084"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Egyéb építmény fizetendő adója [41-42]</w:t>
            </w:r>
          </w:p>
        </w:tc>
        <w:tc>
          <w:tcPr>
            <w:tcW w:w="1615"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196</w:t>
            </w:r>
          </w:p>
        </w:tc>
        <w:tc>
          <w:tcPr>
            <w:tcW w:w="1088"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0</w:t>
            </w:r>
          </w:p>
        </w:tc>
        <w:tc>
          <w:tcPr>
            <w:tcW w:w="1300"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374</w:t>
            </w:r>
          </w:p>
        </w:tc>
        <w:tc>
          <w:tcPr>
            <w:tcW w:w="1142"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10 341</w:t>
            </w:r>
          </w:p>
        </w:tc>
        <w:tc>
          <w:tcPr>
            <w:tcW w:w="1820" w:type="dxa"/>
            <w:tcBorders>
              <w:top w:val="nil"/>
              <w:left w:val="nil"/>
              <w:bottom w:val="nil"/>
              <w:right w:val="single" w:sz="4" w:space="0" w:color="auto"/>
            </w:tcBorders>
            <w:shd w:val="clear" w:color="auto" w:fill="auto"/>
            <w:vAlign w:val="center"/>
            <w:hideMark/>
          </w:tcPr>
          <w:p w:rsidR="00AA40ED" w:rsidRPr="004126B5" w:rsidRDefault="00AA40ED" w:rsidP="00AA40ED">
            <w:pPr>
              <w:spacing w:after="0" w:line="240" w:lineRule="auto"/>
              <w:jc w:val="right"/>
              <w:rPr>
                <w:rFonts w:ascii="Century Gothic" w:eastAsia="Times New Roman" w:hAnsi="Century Gothic" w:cs="Arial"/>
                <w:b/>
                <w:bCs/>
                <w:color w:val="222222"/>
                <w:sz w:val="20"/>
                <w:szCs w:val="20"/>
                <w:lang w:eastAsia="hu-HU"/>
              </w:rPr>
            </w:pPr>
            <w:r w:rsidRPr="004126B5">
              <w:rPr>
                <w:rFonts w:ascii="Century Gothic" w:eastAsia="Times New Roman" w:hAnsi="Century Gothic" w:cs="Arial"/>
                <w:b/>
                <w:bCs/>
                <w:color w:val="222222"/>
                <w:sz w:val="20"/>
                <w:szCs w:val="20"/>
                <w:lang w:eastAsia="hu-HU"/>
              </w:rPr>
              <w:t>2 950 407</w:t>
            </w:r>
          </w:p>
        </w:tc>
      </w:tr>
      <w:tr w:rsidR="004126B5" w:rsidRPr="004126B5" w:rsidTr="00F130DF">
        <w:trPr>
          <w:gridAfter w:val="1"/>
          <w:wAfter w:w="7799" w:type="dxa"/>
          <w:trHeight w:val="469"/>
        </w:trPr>
        <w:tc>
          <w:tcPr>
            <w:tcW w:w="46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3084"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Összes fizetendő adó (9+16+25+34+43)</w:t>
            </w:r>
          </w:p>
        </w:tc>
        <w:tc>
          <w:tcPr>
            <w:tcW w:w="1615"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855</w:t>
            </w:r>
          </w:p>
        </w:tc>
        <w:tc>
          <w:tcPr>
            <w:tcW w:w="1088"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00"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1 179</w:t>
            </w:r>
          </w:p>
        </w:tc>
        <w:tc>
          <w:tcPr>
            <w:tcW w:w="1142"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59 526</w:t>
            </w:r>
          </w:p>
        </w:tc>
        <w:tc>
          <w:tcPr>
            <w:tcW w:w="1820" w:type="dxa"/>
            <w:tcBorders>
              <w:top w:val="double" w:sz="6" w:space="0" w:color="auto"/>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25 767 345</w:t>
            </w:r>
          </w:p>
        </w:tc>
      </w:tr>
    </w:tbl>
    <w:p w:rsidR="00AC78A0" w:rsidRPr="004126B5" w:rsidRDefault="00AC78A0" w:rsidP="002E2502">
      <w:pPr>
        <w:jc w:val="both"/>
        <w:rPr>
          <w:rFonts w:ascii="Century Gothic" w:hAnsi="Century Gothic"/>
          <w:sz w:val="20"/>
          <w:szCs w:val="20"/>
        </w:rPr>
      </w:pPr>
    </w:p>
    <w:p w:rsidR="00BF71D1" w:rsidRDefault="00BF71D1"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F130DF" w:rsidRDefault="00F130DF" w:rsidP="002E2502">
      <w:pPr>
        <w:jc w:val="both"/>
        <w:rPr>
          <w:rFonts w:ascii="Century Gothic" w:hAnsi="Century Gothic"/>
          <w:sz w:val="20"/>
          <w:szCs w:val="20"/>
        </w:rPr>
      </w:pPr>
    </w:p>
    <w:p w:rsidR="00B7048A" w:rsidRDefault="00B7048A" w:rsidP="002E2502">
      <w:pPr>
        <w:jc w:val="both"/>
        <w:rPr>
          <w:rFonts w:ascii="Century Gothic" w:hAnsi="Century Gothic"/>
          <w:sz w:val="20"/>
          <w:szCs w:val="20"/>
        </w:rPr>
      </w:pPr>
    </w:p>
    <w:p w:rsidR="00B7048A" w:rsidRDefault="00B7048A" w:rsidP="002E2502">
      <w:pPr>
        <w:jc w:val="both"/>
        <w:rPr>
          <w:rFonts w:ascii="Century Gothic" w:hAnsi="Century Gothic"/>
          <w:sz w:val="20"/>
          <w:szCs w:val="20"/>
        </w:rPr>
      </w:pPr>
    </w:p>
    <w:p w:rsidR="00472DA5" w:rsidRDefault="00472DA5" w:rsidP="002E2502">
      <w:pPr>
        <w:jc w:val="both"/>
        <w:rPr>
          <w:rFonts w:ascii="Century Gothic" w:hAnsi="Century Gothic"/>
          <w:sz w:val="20"/>
          <w:szCs w:val="20"/>
        </w:rPr>
      </w:pPr>
    </w:p>
    <w:p w:rsidR="00B7048A" w:rsidRDefault="00B7048A" w:rsidP="002E2502">
      <w:pPr>
        <w:jc w:val="both"/>
        <w:rPr>
          <w:rFonts w:ascii="Century Gothic" w:hAnsi="Century Gothic"/>
          <w:sz w:val="20"/>
          <w:szCs w:val="20"/>
        </w:rPr>
      </w:pPr>
    </w:p>
    <w:p w:rsidR="00F130DF" w:rsidRPr="004126B5" w:rsidRDefault="00F130DF" w:rsidP="002E2502">
      <w:pPr>
        <w:jc w:val="both"/>
        <w:rPr>
          <w:rFonts w:ascii="Century Gothic" w:hAnsi="Century Gothic"/>
          <w:sz w:val="20"/>
          <w:szCs w:val="20"/>
        </w:rPr>
      </w:pPr>
    </w:p>
    <w:p w:rsidR="00BF71D1" w:rsidRPr="00F130DF" w:rsidRDefault="00BF71D1" w:rsidP="00F130DF">
      <w:pPr>
        <w:jc w:val="center"/>
        <w:rPr>
          <w:rFonts w:ascii="Century Gothic" w:hAnsi="Century Gothic"/>
          <w:b/>
          <w:sz w:val="20"/>
          <w:szCs w:val="20"/>
        </w:rPr>
      </w:pPr>
    </w:p>
    <w:tbl>
      <w:tblPr>
        <w:tblW w:w="9049" w:type="dxa"/>
        <w:tblCellMar>
          <w:left w:w="70" w:type="dxa"/>
          <w:right w:w="70" w:type="dxa"/>
        </w:tblCellMar>
        <w:tblLook w:val="04A0"/>
      </w:tblPr>
      <w:tblGrid>
        <w:gridCol w:w="3379"/>
        <w:gridCol w:w="1843"/>
        <w:gridCol w:w="1300"/>
        <w:gridCol w:w="2527"/>
      </w:tblGrid>
      <w:tr w:rsidR="00AA40ED" w:rsidRPr="004126B5" w:rsidTr="004126B5">
        <w:trPr>
          <w:trHeight w:val="300"/>
        </w:trPr>
        <w:tc>
          <w:tcPr>
            <w:tcW w:w="3379" w:type="dxa"/>
            <w:tcBorders>
              <w:top w:val="double" w:sz="6" w:space="0" w:color="000000"/>
              <w:left w:val="double" w:sz="6" w:space="0" w:color="000000"/>
              <w:bottom w:val="nil"/>
              <w:right w:val="nil"/>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843" w:type="dxa"/>
            <w:tcBorders>
              <w:top w:val="double" w:sz="6" w:space="0" w:color="000000"/>
              <w:left w:val="single" w:sz="4" w:space="0" w:color="000000"/>
              <w:bottom w:val="nil"/>
              <w:right w:val="single" w:sz="4"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xml:space="preserve">Adóalanyok </w:t>
            </w:r>
          </w:p>
        </w:tc>
        <w:tc>
          <w:tcPr>
            <w:tcW w:w="1300" w:type="dxa"/>
            <w:tcBorders>
              <w:top w:val="double" w:sz="6" w:space="0" w:color="000000"/>
              <w:left w:val="nil"/>
              <w:bottom w:val="nil"/>
              <w:right w:val="single" w:sz="4"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xml:space="preserve">Adótárgyak </w:t>
            </w:r>
          </w:p>
        </w:tc>
        <w:tc>
          <w:tcPr>
            <w:tcW w:w="2527" w:type="dxa"/>
            <w:tcBorders>
              <w:top w:val="double" w:sz="6" w:space="0" w:color="000000"/>
              <w:left w:val="nil"/>
              <w:bottom w:val="nil"/>
              <w:right w:val="double" w:sz="6"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Adómegállapítás</w:t>
            </w:r>
          </w:p>
        </w:tc>
      </w:tr>
      <w:tr w:rsidR="00AA40ED" w:rsidRPr="004126B5" w:rsidTr="004126B5">
        <w:trPr>
          <w:trHeight w:val="300"/>
        </w:trPr>
        <w:tc>
          <w:tcPr>
            <w:tcW w:w="3379" w:type="dxa"/>
            <w:tcBorders>
              <w:top w:val="nil"/>
              <w:left w:val="double" w:sz="6" w:space="0" w:color="000000"/>
              <w:bottom w:val="nil"/>
              <w:right w:val="nil"/>
            </w:tcBorders>
            <w:shd w:val="clear" w:color="auto" w:fill="auto"/>
            <w:noWrap/>
            <w:vAlign w:val="bottom"/>
            <w:hideMark/>
          </w:tcPr>
          <w:p w:rsidR="00F130DF" w:rsidRPr="00F130DF" w:rsidRDefault="00F130DF" w:rsidP="00AA40ED">
            <w:pPr>
              <w:spacing w:after="0" w:line="240" w:lineRule="auto"/>
              <w:jc w:val="center"/>
              <w:rPr>
                <w:rFonts w:ascii="Century Gothic" w:eastAsia="Times New Roman" w:hAnsi="Century Gothic" w:cs="Arial"/>
                <w:b/>
                <w:sz w:val="20"/>
                <w:szCs w:val="20"/>
                <w:lang w:eastAsia="hu-HU"/>
              </w:rPr>
            </w:pPr>
            <w:r w:rsidRPr="00F130DF">
              <w:rPr>
                <w:rFonts w:ascii="Century Gothic" w:eastAsia="Times New Roman" w:hAnsi="Century Gothic" w:cs="Arial"/>
                <w:b/>
                <w:sz w:val="20"/>
                <w:szCs w:val="20"/>
                <w:lang w:eastAsia="hu-HU"/>
              </w:rPr>
              <w:t>Magánszemélyek kommunális adó kivetés 2021.</w:t>
            </w:r>
          </w:p>
        </w:tc>
        <w:tc>
          <w:tcPr>
            <w:tcW w:w="1843" w:type="dxa"/>
            <w:tcBorders>
              <w:top w:val="nil"/>
              <w:left w:val="single" w:sz="4" w:space="0" w:color="000000"/>
              <w:bottom w:val="nil"/>
              <w:right w:val="single" w:sz="4"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száma</w:t>
            </w:r>
          </w:p>
        </w:tc>
        <w:tc>
          <w:tcPr>
            <w:tcW w:w="1300" w:type="dxa"/>
            <w:tcBorders>
              <w:top w:val="nil"/>
              <w:left w:val="nil"/>
              <w:bottom w:val="nil"/>
              <w:right w:val="single" w:sz="4"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száma</w:t>
            </w:r>
          </w:p>
        </w:tc>
        <w:tc>
          <w:tcPr>
            <w:tcW w:w="2527" w:type="dxa"/>
            <w:tcBorders>
              <w:top w:val="nil"/>
              <w:left w:val="nil"/>
              <w:bottom w:val="nil"/>
              <w:right w:val="double" w:sz="6" w:space="0" w:color="000000"/>
            </w:tcBorders>
            <w:shd w:val="clear" w:color="auto" w:fill="auto"/>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r>
      <w:tr w:rsidR="00AA40ED" w:rsidRPr="004126B5" w:rsidTr="004126B5">
        <w:trPr>
          <w:trHeight w:val="300"/>
        </w:trPr>
        <w:tc>
          <w:tcPr>
            <w:tcW w:w="3379" w:type="dxa"/>
            <w:tcBorders>
              <w:top w:val="nil"/>
              <w:left w:val="double" w:sz="6" w:space="0" w:color="000000"/>
              <w:bottom w:val="double" w:sz="6" w:space="0" w:color="000000"/>
              <w:right w:val="nil"/>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 </w:t>
            </w:r>
          </w:p>
        </w:tc>
        <w:tc>
          <w:tcPr>
            <w:tcW w:w="1843" w:type="dxa"/>
            <w:tcBorders>
              <w:top w:val="nil"/>
              <w:left w:val="single" w:sz="4" w:space="0" w:color="000000"/>
              <w:bottom w:val="double" w:sz="6" w:space="0" w:color="000000"/>
              <w:right w:val="single" w:sz="4" w:space="0" w:color="000000"/>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(fő)</w:t>
            </w:r>
          </w:p>
        </w:tc>
        <w:tc>
          <w:tcPr>
            <w:tcW w:w="1300" w:type="dxa"/>
            <w:tcBorders>
              <w:top w:val="nil"/>
              <w:left w:val="nil"/>
              <w:bottom w:val="double" w:sz="6" w:space="0" w:color="000000"/>
              <w:right w:val="single" w:sz="4" w:space="0" w:color="000000"/>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(db)</w:t>
            </w:r>
          </w:p>
        </w:tc>
        <w:tc>
          <w:tcPr>
            <w:tcW w:w="2527" w:type="dxa"/>
            <w:tcBorders>
              <w:top w:val="nil"/>
              <w:left w:val="nil"/>
              <w:bottom w:val="double" w:sz="6" w:space="0" w:color="000000"/>
              <w:right w:val="double" w:sz="6" w:space="0" w:color="000000"/>
            </w:tcBorders>
            <w:shd w:val="clear" w:color="auto" w:fill="auto"/>
            <w:noWrap/>
            <w:vAlign w:val="bottom"/>
            <w:hideMark/>
          </w:tcPr>
          <w:p w:rsidR="00AA40ED" w:rsidRPr="004126B5" w:rsidRDefault="00AA40ED" w:rsidP="00AA40ED">
            <w:pPr>
              <w:spacing w:after="0" w:line="240" w:lineRule="auto"/>
              <w:jc w:val="center"/>
              <w:rPr>
                <w:rFonts w:ascii="Century Gothic" w:eastAsia="Times New Roman" w:hAnsi="Century Gothic" w:cs="Arial"/>
                <w:sz w:val="20"/>
                <w:szCs w:val="20"/>
                <w:lang w:eastAsia="hu-HU"/>
              </w:rPr>
            </w:pPr>
            <w:r w:rsidRPr="004126B5">
              <w:rPr>
                <w:rFonts w:ascii="Century Gothic" w:eastAsia="Times New Roman" w:hAnsi="Century Gothic" w:cs="Arial"/>
                <w:sz w:val="20"/>
                <w:szCs w:val="20"/>
                <w:lang w:eastAsia="hu-HU"/>
              </w:rPr>
              <w:t>(Ft)</w:t>
            </w:r>
          </w:p>
        </w:tc>
      </w:tr>
      <w:tr w:rsidR="00AA40ED" w:rsidRPr="004126B5" w:rsidTr="004126B5">
        <w:trPr>
          <w:trHeight w:val="420"/>
        </w:trPr>
        <w:tc>
          <w:tcPr>
            <w:tcW w:w="3379" w:type="dxa"/>
            <w:tcBorders>
              <w:top w:val="double" w:sz="6" w:space="0" w:color="auto"/>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1. Építmény </w:t>
            </w:r>
          </w:p>
        </w:tc>
        <w:tc>
          <w:tcPr>
            <w:tcW w:w="1843" w:type="dxa"/>
            <w:tcBorders>
              <w:top w:val="double" w:sz="6" w:space="0" w:color="auto"/>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467</w:t>
            </w:r>
          </w:p>
        </w:tc>
        <w:tc>
          <w:tcPr>
            <w:tcW w:w="1300" w:type="dxa"/>
            <w:tcBorders>
              <w:top w:val="double" w:sz="6" w:space="0" w:color="auto"/>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495</w:t>
            </w:r>
          </w:p>
        </w:tc>
        <w:tc>
          <w:tcPr>
            <w:tcW w:w="2527" w:type="dxa"/>
            <w:tcBorders>
              <w:top w:val="double" w:sz="6" w:space="0" w:color="auto"/>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6 339 667</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Ezen belül:</w:t>
            </w:r>
          </w:p>
        </w:tc>
        <w:tc>
          <w:tcPr>
            <w:tcW w:w="1843" w:type="dxa"/>
            <w:tcBorders>
              <w:top w:val="nil"/>
              <w:left w:val="nil"/>
              <w:bottom w:val="single" w:sz="4" w:space="0" w:color="auto"/>
              <w:right w:val="single" w:sz="4" w:space="0" w:color="auto"/>
            </w:tcBorders>
            <w:shd w:val="clear" w:color="000000" w:fill="D9D9D9"/>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1300" w:type="dxa"/>
            <w:tcBorders>
              <w:top w:val="nil"/>
              <w:left w:val="nil"/>
              <w:bottom w:val="single" w:sz="4" w:space="0" w:color="auto"/>
              <w:right w:val="single" w:sz="4" w:space="0" w:color="auto"/>
            </w:tcBorders>
            <w:shd w:val="clear" w:color="000000" w:fill="D9D9D9"/>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c>
          <w:tcPr>
            <w:tcW w:w="2527" w:type="dxa"/>
            <w:tcBorders>
              <w:top w:val="nil"/>
              <w:left w:val="nil"/>
              <w:bottom w:val="single" w:sz="4" w:space="0" w:color="auto"/>
              <w:right w:val="double" w:sz="6" w:space="0" w:color="auto"/>
            </w:tcBorders>
            <w:shd w:val="clear" w:color="000000" w:fill="D9D9D9"/>
            <w:noWrap/>
            <w:vAlign w:val="bottom"/>
            <w:hideMark/>
          </w:tcPr>
          <w:p w:rsidR="00AA40ED" w:rsidRPr="004126B5" w:rsidRDefault="00AA40ED" w:rsidP="00AA40ED">
            <w:pPr>
              <w:spacing w:after="0" w:line="240" w:lineRule="auto"/>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 </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 lakás </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461</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486</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6 213 667</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 nem lakás </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7</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9</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126 000</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2.  Telek </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3.  Bérleti jog</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b/>
                <w:bCs/>
                <w:color w:val="000000"/>
                <w:sz w:val="20"/>
                <w:szCs w:val="20"/>
                <w:lang w:eastAsia="hu-HU"/>
              </w:rPr>
            </w:pPr>
            <w:r w:rsidRPr="004126B5">
              <w:rPr>
                <w:rFonts w:ascii="Century Gothic" w:eastAsia="Times New Roman" w:hAnsi="Century Gothic" w:cs="Arial"/>
                <w:b/>
                <w:bCs/>
                <w:color w:val="000000"/>
                <w:sz w:val="20"/>
                <w:szCs w:val="20"/>
                <w:lang w:eastAsia="hu-HU"/>
              </w:rPr>
              <w:t xml:space="preserve">  4. KOMMUNÁLIS ADÓ ÖSSZESEN (1+2+3)</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467</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495</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6 339 667</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5. Önkormányzati döntés alapján mentesség, kedvezmény</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r>
      <w:tr w:rsidR="00AA40ED" w:rsidRPr="004126B5" w:rsidTr="004126B5">
        <w:trPr>
          <w:trHeight w:val="420"/>
        </w:trPr>
        <w:tc>
          <w:tcPr>
            <w:tcW w:w="3379" w:type="dxa"/>
            <w:tcBorders>
              <w:top w:val="nil"/>
              <w:left w:val="double" w:sz="6" w:space="0" w:color="auto"/>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color w:val="000000"/>
                <w:sz w:val="20"/>
                <w:szCs w:val="20"/>
                <w:lang w:eastAsia="hu-HU"/>
              </w:rPr>
            </w:pPr>
            <w:r w:rsidRPr="004126B5">
              <w:rPr>
                <w:rFonts w:ascii="Century Gothic" w:eastAsia="Times New Roman" w:hAnsi="Century Gothic" w:cs="Arial"/>
                <w:color w:val="000000"/>
                <w:sz w:val="20"/>
                <w:szCs w:val="20"/>
                <w:lang w:eastAsia="hu-HU"/>
              </w:rPr>
              <w:t xml:space="preserve">  6. Alanyi mentesség, kedvezmény</w:t>
            </w:r>
          </w:p>
        </w:tc>
        <w:tc>
          <w:tcPr>
            <w:tcW w:w="1843"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c>
          <w:tcPr>
            <w:tcW w:w="2527" w:type="dxa"/>
            <w:tcBorders>
              <w:top w:val="nil"/>
              <w:left w:val="nil"/>
              <w:bottom w:val="single" w:sz="4"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color w:val="000000"/>
                <w:sz w:val="20"/>
                <w:szCs w:val="20"/>
                <w:lang w:eastAsia="hu-HU"/>
              </w:rPr>
            </w:pPr>
            <w:r w:rsidRPr="004126B5">
              <w:rPr>
                <w:rFonts w:ascii="Century Gothic" w:eastAsia="Times New Roman" w:hAnsi="Century Gothic" w:cs="Calibri"/>
                <w:color w:val="000000"/>
                <w:sz w:val="20"/>
                <w:szCs w:val="20"/>
                <w:lang w:eastAsia="hu-HU"/>
              </w:rPr>
              <w:t>0</w:t>
            </w:r>
          </w:p>
        </w:tc>
      </w:tr>
      <w:tr w:rsidR="00AA40ED" w:rsidRPr="004126B5" w:rsidTr="004126B5">
        <w:trPr>
          <w:trHeight w:val="420"/>
        </w:trPr>
        <w:tc>
          <w:tcPr>
            <w:tcW w:w="3379" w:type="dxa"/>
            <w:tcBorders>
              <w:top w:val="nil"/>
              <w:left w:val="double" w:sz="6" w:space="0" w:color="auto"/>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rPr>
                <w:rFonts w:ascii="Century Gothic" w:eastAsia="Times New Roman" w:hAnsi="Century Gothic" w:cs="Arial"/>
                <w:b/>
                <w:bCs/>
                <w:color w:val="000000"/>
                <w:sz w:val="20"/>
                <w:szCs w:val="20"/>
                <w:lang w:eastAsia="hu-HU"/>
              </w:rPr>
            </w:pPr>
            <w:r w:rsidRPr="004126B5">
              <w:rPr>
                <w:rFonts w:ascii="Century Gothic" w:eastAsia="Times New Roman" w:hAnsi="Century Gothic" w:cs="Arial"/>
                <w:b/>
                <w:bCs/>
                <w:color w:val="000000"/>
                <w:sz w:val="20"/>
                <w:szCs w:val="20"/>
                <w:lang w:eastAsia="hu-HU"/>
              </w:rPr>
              <w:t xml:space="preserve">  7. FIZETENDŐ KOMMUNÁLIS ADÓ / 4-(5+6)/</w:t>
            </w:r>
          </w:p>
        </w:tc>
        <w:tc>
          <w:tcPr>
            <w:tcW w:w="1843" w:type="dxa"/>
            <w:tcBorders>
              <w:top w:val="nil"/>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467</w:t>
            </w:r>
          </w:p>
        </w:tc>
        <w:tc>
          <w:tcPr>
            <w:tcW w:w="1300" w:type="dxa"/>
            <w:tcBorders>
              <w:top w:val="nil"/>
              <w:left w:val="nil"/>
              <w:bottom w:val="double" w:sz="6" w:space="0" w:color="auto"/>
              <w:right w:val="single" w:sz="4"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495</w:t>
            </w:r>
          </w:p>
        </w:tc>
        <w:tc>
          <w:tcPr>
            <w:tcW w:w="2527" w:type="dxa"/>
            <w:tcBorders>
              <w:top w:val="nil"/>
              <w:left w:val="nil"/>
              <w:bottom w:val="double" w:sz="6" w:space="0" w:color="auto"/>
              <w:right w:val="double" w:sz="6" w:space="0" w:color="auto"/>
            </w:tcBorders>
            <w:shd w:val="clear" w:color="auto" w:fill="auto"/>
            <w:noWrap/>
            <w:vAlign w:val="bottom"/>
            <w:hideMark/>
          </w:tcPr>
          <w:p w:rsidR="00AA40ED" w:rsidRPr="004126B5" w:rsidRDefault="00AA40ED" w:rsidP="00AA40ED">
            <w:pPr>
              <w:spacing w:after="0" w:line="240" w:lineRule="auto"/>
              <w:jc w:val="right"/>
              <w:rPr>
                <w:rFonts w:ascii="Century Gothic" w:eastAsia="Times New Roman" w:hAnsi="Century Gothic" w:cs="Calibri"/>
                <w:b/>
                <w:bCs/>
                <w:color w:val="000000"/>
                <w:sz w:val="20"/>
                <w:szCs w:val="20"/>
                <w:lang w:eastAsia="hu-HU"/>
              </w:rPr>
            </w:pPr>
            <w:r w:rsidRPr="004126B5">
              <w:rPr>
                <w:rFonts w:ascii="Century Gothic" w:eastAsia="Times New Roman" w:hAnsi="Century Gothic" w:cs="Calibri"/>
                <w:b/>
                <w:bCs/>
                <w:color w:val="000000"/>
                <w:sz w:val="20"/>
                <w:szCs w:val="20"/>
                <w:lang w:eastAsia="hu-HU"/>
              </w:rPr>
              <w:t>6 339 667</w:t>
            </w:r>
          </w:p>
        </w:tc>
      </w:tr>
    </w:tbl>
    <w:p w:rsidR="00BF71D1" w:rsidRDefault="00BF71D1"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B7048A" w:rsidRDefault="00B7048A" w:rsidP="00B7048A">
      <w:pPr>
        <w:rPr>
          <w:rFonts w:ascii="Century Gothic" w:hAnsi="Century Gothic"/>
          <w:b/>
          <w:sz w:val="20"/>
          <w:szCs w:val="20"/>
        </w:rPr>
      </w:pPr>
    </w:p>
    <w:p w:rsidR="00472DA5" w:rsidRDefault="00472DA5" w:rsidP="00B7048A">
      <w:pPr>
        <w:rPr>
          <w:rFonts w:ascii="Century Gothic" w:hAnsi="Century Gothic"/>
          <w:b/>
          <w:sz w:val="20"/>
          <w:szCs w:val="20"/>
        </w:rPr>
      </w:pPr>
    </w:p>
    <w:p w:rsidR="00472DA5" w:rsidRDefault="00472DA5" w:rsidP="00B7048A">
      <w:pPr>
        <w:rPr>
          <w:rFonts w:ascii="Century Gothic" w:hAnsi="Century Gothic"/>
          <w:b/>
          <w:sz w:val="20"/>
          <w:szCs w:val="20"/>
        </w:rPr>
      </w:pPr>
    </w:p>
    <w:p w:rsidR="00472DA5" w:rsidRDefault="00472DA5" w:rsidP="00B7048A">
      <w:pPr>
        <w:rPr>
          <w:rFonts w:ascii="Century Gothic" w:hAnsi="Century Gothic"/>
          <w:b/>
          <w:sz w:val="20"/>
          <w:szCs w:val="20"/>
        </w:rPr>
      </w:pPr>
    </w:p>
    <w:p w:rsidR="00472DA5" w:rsidRDefault="00472DA5" w:rsidP="00B7048A">
      <w:pPr>
        <w:rPr>
          <w:rFonts w:ascii="Century Gothic" w:hAnsi="Century Gothic"/>
          <w:b/>
          <w:sz w:val="20"/>
          <w:szCs w:val="20"/>
        </w:rPr>
      </w:pPr>
    </w:p>
    <w:p w:rsidR="00B7048A" w:rsidRPr="00F130DF" w:rsidRDefault="00B7048A" w:rsidP="00B7048A">
      <w:pPr>
        <w:rPr>
          <w:rFonts w:ascii="Century Gothic" w:hAnsi="Century Gothic"/>
          <w:b/>
          <w:sz w:val="20"/>
          <w:szCs w:val="20"/>
        </w:rPr>
      </w:pPr>
    </w:p>
    <w:tbl>
      <w:tblPr>
        <w:tblW w:w="28224" w:type="dxa"/>
        <w:tblCellMar>
          <w:left w:w="70" w:type="dxa"/>
          <w:right w:w="70" w:type="dxa"/>
        </w:tblCellMar>
        <w:tblLook w:val="04A0"/>
      </w:tblPr>
      <w:tblGrid>
        <w:gridCol w:w="16192"/>
        <w:gridCol w:w="1952"/>
        <w:gridCol w:w="1320"/>
        <w:gridCol w:w="1320"/>
        <w:gridCol w:w="1600"/>
        <w:gridCol w:w="1600"/>
        <w:gridCol w:w="1088"/>
        <w:gridCol w:w="1552"/>
        <w:gridCol w:w="1600"/>
      </w:tblGrid>
      <w:tr w:rsidR="00BF71D1" w:rsidRPr="00BF71D1" w:rsidTr="00BF71D1">
        <w:trPr>
          <w:trHeight w:val="300"/>
        </w:trPr>
        <w:tc>
          <w:tcPr>
            <w:tcW w:w="16192" w:type="dxa"/>
            <w:tcBorders>
              <w:top w:val="nil"/>
              <w:left w:val="nil"/>
              <w:bottom w:val="nil"/>
              <w:right w:val="nil"/>
            </w:tcBorders>
            <w:shd w:val="clear" w:color="auto" w:fill="auto"/>
            <w:noWrap/>
            <w:vAlign w:val="bottom"/>
            <w:hideMark/>
          </w:tcPr>
          <w:tbl>
            <w:tblPr>
              <w:tblW w:w="9541" w:type="dxa"/>
              <w:tblCellMar>
                <w:left w:w="70" w:type="dxa"/>
                <w:right w:w="70" w:type="dxa"/>
              </w:tblCellMar>
              <w:tblLook w:val="04A0"/>
            </w:tblPr>
            <w:tblGrid>
              <w:gridCol w:w="2737"/>
              <w:gridCol w:w="1615"/>
              <w:gridCol w:w="1088"/>
              <w:gridCol w:w="1300"/>
              <w:gridCol w:w="1384"/>
              <w:gridCol w:w="1820"/>
            </w:tblGrid>
            <w:tr w:rsidR="004126B5" w:rsidRPr="00BF71D1" w:rsidTr="004126B5">
              <w:trPr>
                <w:trHeight w:val="315"/>
              </w:trPr>
              <w:tc>
                <w:tcPr>
                  <w:tcW w:w="2737" w:type="dxa"/>
                  <w:tcBorders>
                    <w:top w:val="double" w:sz="6" w:space="0" w:color="auto"/>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double" w:sz="6" w:space="0" w:color="auto"/>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Adóalanyok száma</w:t>
                  </w:r>
                </w:p>
              </w:tc>
              <w:tc>
                <w:tcPr>
                  <w:tcW w:w="1088" w:type="dxa"/>
                  <w:tcBorders>
                    <w:top w:val="double" w:sz="6" w:space="0" w:color="auto"/>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4101" w:type="dxa"/>
                  <w:gridSpan w:val="3"/>
                  <w:tcBorders>
                    <w:top w:val="double" w:sz="6" w:space="0" w:color="auto"/>
                    <w:left w:val="nil"/>
                    <w:bottom w:val="single" w:sz="4" w:space="0" w:color="auto"/>
                    <w:right w:val="double" w:sz="6" w:space="0" w:color="000000"/>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b/>
                      <w:bCs/>
                      <w:color w:val="000000"/>
                      <w:sz w:val="20"/>
                      <w:szCs w:val="20"/>
                      <w:lang w:eastAsia="hu-HU"/>
                    </w:rPr>
                  </w:pPr>
                  <w:r w:rsidRPr="00BF71D1">
                    <w:rPr>
                      <w:rFonts w:ascii="Century Gothic" w:eastAsia="Times New Roman" w:hAnsi="Century Gothic" w:cs="Arial"/>
                      <w:b/>
                      <w:bCs/>
                      <w:color w:val="000000"/>
                      <w:sz w:val="20"/>
                      <w:szCs w:val="20"/>
                      <w:lang w:eastAsia="hu-HU"/>
                    </w:rPr>
                    <w:t>Terület szerinti adózás esetén</w:t>
                  </w:r>
                </w:p>
              </w:tc>
            </w:tr>
            <w:tr w:rsidR="00BF71D1" w:rsidRPr="004126B5" w:rsidTr="004126B5">
              <w:trPr>
                <w:trHeight w:val="315"/>
              </w:trPr>
              <w:tc>
                <w:tcPr>
                  <w:tcW w:w="2737" w:type="dxa"/>
                  <w:tcBorders>
                    <w:top w:val="nil"/>
                    <w:left w:val="double" w:sz="6" w:space="0" w:color="auto"/>
                    <w:bottom w:val="nil"/>
                    <w:right w:val="single" w:sz="4" w:space="0" w:color="auto"/>
                  </w:tcBorders>
                  <w:shd w:val="clear" w:color="auto" w:fill="auto"/>
                  <w:noWrap/>
                  <w:vAlign w:val="bottom"/>
                  <w:hideMark/>
                </w:tcPr>
                <w:p w:rsidR="00BF71D1" w:rsidRPr="00B7048A" w:rsidRDefault="00B7048A" w:rsidP="00B7048A">
                  <w:pPr>
                    <w:spacing w:after="0" w:line="240" w:lineRule="auto"/>
                    <w:jc w:val="center"/>
                    <w:rPr>
                      <w:rFonts w:ascii="Century Gothic" w:eastAsia="Times New Roman" w:hAnsi="Century Gothic" w:cs="Arial"/>
                      <w:b/>
                      <w:sz w:val="20"/>
                      <w:szCs w:val="20"/>
                      <w:lang w:eastAsia="hu-HU"/>
                    </w:rPr>
                  </w:pPr>
                  <w:r w:rsidRPr="00B7048A">
                    <w:rPr>
                      <w:rFonts w:ascii="Century Gothic" w:eastAsia="Times New Roman" w:hAnsi="Century Gothic" w:cs="Arial"/>
                      <w:b/>
                      <w:sz w:val="20"/>
                      <w:szCs w:val="20"/>
                      <w:lang w:eastAsia="hu-HU"/>
                    </w:rPr>
                    <w:t>Telekadó kivetés</w:t>
                  </w:r>
                </w:p>
                <w:p w:rsidR="00B7048A" w:rsidRPr="00B7048A" w:rsidRDefault="00B7048A" w:rsidP="00B7048A">
                  <w:pPr>
                    <w:spacing w:after="0" w:line="240" w:lineRule="auto"/>
                    <w:jc w:val="center"/>
                    <w:rPr>
                      <w:rFonts w:ascii="Century Gothic" w:eastAsia="Times New Roman" w:hAnsi="Century Gothic" w:cs="Arial"/>
                      <w:b/>
                      <w:sz w:val="20"/>
                      <w:szCs w:val="20"/>
                      <w:lang w:eastAsia="hu-HU"/>
                    </w:rPr>
                  </w:pPr>
                  <w:r w:rsidRPr="00B7048A">
                    <w:rPr>
                      <w:rFonts w:ascii="Century Gothic" w:eastAsia="Times New Roman" w:hAnsi="Century Gothic" w:cs="Arial"/>
                      <w:b/>
                      <w:sz w:val="20"/>
                      <w:szCs w:val="20"/>
                      <w:lang w:eastAsia="hu-HU"/>
                    </w:rPr>
                    <w:t>egyéni vállalkozók</w:t>
                  </w:r>
                </w:p>
                <w:p w:rsidR="00B7048A" w:rsidRPr="00BF71D1" w:rsidRDefault="00B7048A" w:rsidP="00B7048A">
                  <w:pPr>
                    <w:spacing w:after="0" w:line="240" w:lineRule="auto"/>
                    <w:jc w:val="center"/>
                    <w:rPr>
                      <w:rFonts w:ascii="Century Gothic" w:eastAsia="Times New Roman" w:hAnsi="Century Gothic" w:cs="Arial"/>
                      <w:sz w:val="20"/>
                      <w:szCs w:val="20"/>
                      <w:lang w:eastAsia="hu-HU"/>
                    </w:rPr>
                  </w:pPr>
                  <w:r w:rsidRPr="00B7048A">
                    <w:rPr>
                      <w:rFonts w:ascii="Century Gothic" w:eastAsia="Times New Roman" w:hAnsi="Century Gothic" w:cs="Arial"/>
                      <w:b/>
                      <w:sz w:val="20"/>
                      <w:szCs w:val="20"/>
                      <w:lang w:eastAsia="hu-HU"/>
                    </w:rPr>
                    <w:t>2021.</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tulajdonos vagy vagyoni</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xml:space="preserve">Adótárgyak </w:t>
                  </w:r>
                </w:p>
              </w:tc>
              <w:tc>
                <w:tcPr>
                  <w:tcW w:w="1384"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Terület</w:t>
                  </w:r>
                </w:p>
              </w:tc>
              <w:tc>
                <w:tcPr>
                  <w:tcW w:w="1417"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Adómegállapítás</w:t>
                  </w:r>
                </w:p>
              </w:tc>
            </w:tr>
            <w:tr w:rsidR="00BF71D1" w:rsidRPr="004126B5" w:rsidTr="004126B5">
              <w:trPr>
                <w:trHeight w:val="315"/>
              </w:trPr>
              <w:tc>
                <w:tcPr>
                  <w:tcW w:w="2737"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értékű jog jogosítottja</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száma</w:t>
                  </w:r>
                </w:p>
              </w:tc>
              <w:tc>
                <w:tcPr>
                  <w:tcW w:w="1384"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(adóalap)</w:t>
                  </w:r>
                </w:p>
              </w:tc>
              <w:tc>
                <w:tcPr>
                  <w:tcW w:w="1417"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15"/>
              </w:trPr>
              <w:tc>
                <w:tcPr>
                  <w:tcW w:w="2737"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magánszemély</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egyéb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384"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417"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15"/>
              </w:trPr>
              <w:tc>
                <w:tcPr>
                  <w:tcW w:w="2737"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(fő)</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adóalany</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384"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417"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00"/>
              </w:trPr>
              <w:tc>
                <w:tcPr>
                  <w:tcW w:w="2737" w:type="dxa"/>
                  <w:tcBorders>
                    <w:top w:val="nil"/>
                    <w:left w:val="double" w:sz="6" w:space="0" w:color="auto"/>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615"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088"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(fő, db)</w:t>
                  </w:r>
                </w:p>
              </w:tc>
              <w:tc>
                <w:tcPr>
                  <w:tcW w:w="13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(db)</w:t>
                  </w:r>
                </w:p>
              </w:tc>
              <w:tc>
                <w:tcPr>
                  <w:tcW w:w="1384"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(m</w:t>
                  </w:r>
                  <w:r w:rsidRPr="00BF71D1">
                    <w:rPr>
                      <w:rFonts w:ascii="Century Gothic" w:eastAsia="Times New Roman" w:hAnsi="Century Gothic" w:cs="Calibri"/>
                      <w:color w:val="000000"/>
                      <w:sz w:val="20"/>
                      <w:szCs w:val="20"/>
                      <w:vertAlign w:val="superscript"/>
                      <w:lang w:eastAsia="hu-HU"/>
                    </w:rPr>
                    <w:t>2</w:t>
                  </w:r>
                  <w:r w:rsidRPr="00BF71D1">
                    <w:rPr>
                      <w:rFonts w:ascii="Century Gothic" w:eastAsia="Times New Roman" w:hAnsi="Century Gothic" w:cs="Calibri"/>
                      <w:color w:val="000000"/>
                      <w:sz w:val="20"/>
                      <w:szCs w:val="20"/>
                      <w:lang w:eastAsia="hu-HU"/>
                    </w:rPr>
                    <w:t>)</w:t>
                  </w:r>
                </w:p>
              </w:tc>
              <w:tc>
                <w:tcPr>
                  <w:tcW w:w="1417"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(Ft)</w:t>
                  </w:r>
                </w:p>
              </w:tc>
            </w:tr>
            <w:tr w:rsidR="00BF71D1" w:rsidRPr="004126B5" w:rsidTr="004126B5">
              <w:trPr>
                <w:trHeight w:val="259"/>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1.  Belterületi földrészlet  teljes alapterülete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7 610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204 295</w:t>
                  </w:r>
                </w:p>
              </w:tc>
            </w:tr>
            <w:tr w:rsidR="00BF71D1" w:rsidRPr="004126B5" w:rsidTr="004126B5">
              <w:trPr>
                <w:trHeight w:val="259"/>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2.  Építménnyel lefedett terület</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80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1 600</w:t>
                  </w:r>
                </w:p>
              </w:tc>
            </w:tr>
            <w:tr w:rsidR="00BF71D1" w:rsidRPr="004126B5" w:rsidTr="004126B5">
              <w:trPr>
                <w:trHeight w:val="252"/>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3.  Htv. 19.§ a)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4.  Htv. 19.§ b)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5.  Htv. 19.§ c) pontja alapján mentes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6.  Htv. 19.§ d)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7.  Önkormányzati döntés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  8. Adóköteles terület (1-(2+3+4+5+6+7))</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9</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9</w:t>
                  </w:r>
                </w:p>
              </w:tc>
              <w:tc>
                <w:tcPr>
                  <w:tcW w:w="1384"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7 530</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202 695</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  9. Belterületi földrészlet adója</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10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10</w:t>
                  </w:r>
                </w:p>
              </w:tc>
              <w:tc>
                <w:tcPr>
                  <w:tcW w:w="1384" w:type="dxa"/>
                  <w:tcBorders>
                    <w:top w:val="nil"/>
                    <w:left w:val="nil"/>
                    <w:bottom w:val="single" w:sz="4"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 </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204 295</w:t>
                  </w:r>
                </w:p>
              </w:tc>
            </w:tr>
            <w:tr w:rsidR="00BF71D1" w:rsidRPr="004126B5" w:rsidTr="004126B5">
              <w:trPr>
                <w:trHeight w:val="300"/>
              </w:trPr>
              <w:tc>
                <w:tcPr>
                  <w:tcW w:w="2737"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10. Önkormányzati döntés alapján kedvezmény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84" w:type="dxa"/>
                  <w:tcBorders>
                    <w:top w:val="nil"/>
                    <w:left w:val="nil"/>
                    <w:bottom w:val="single" w:sz="4"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417"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737" w:type="dxa"/>
                  <w:tcBorders>
                    <w:top w:val="nil"/>
                    <w:left w:val="double" w:sz="6" w:space="0" w:color="auto"/>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11. FIZETENDŐ ADÓ   (10-(12+13))                                 </w:t>
                  </w:r>
                </w:p>
              </w:tc>
              <w:tc>
                <w:tcPr>
                  <w:tcW w:w="1615"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10</w:t>
                  </w:r>
                </w:p>
              </w:tc>
              <w:tc>
                <w:tcPr>
                  <w:tcW w:w="1088"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3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10</w:t>
                  </w:r>
                </w:p>
              </w:tc>
              <w:tc>
                <w:tcPr>
                  <w:tcW w:w="1384" w:type="dxa"/>
                  <w:tcBorders>
                    <w:top w:val="nil"/>
                    <w:left w:val="nil"/>
                    <w:bottom w:val="double" w:sz="6"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 </w:t>
                  </w:r>
                </w:p>
              </w:tc>
              <w:tc>
                <w:tcPr>
                  <w:tcW w:w="1417"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204 295</w:t>
                  </w:r>
                </w:p>
              </w:tc>
            </w:tr>
          </w:tbl>
          <w:p w:rsidR="00BF71D1" w:rsidRPr="004126B5" w:rsidRDefault="00BF71D1">
            <w:pPr>
              <w:rPr>
                <w:rFonts w:ascii="Century Gothic" w:hAnsi="Century Gothic"/>
                <w:sz w:val="20"/>
                <w:szCs w:val="20"/>
              </w:rPr>
            </w:pPr>
          </w:p>
          <w:p w:rsidR="00BF71D1" w:rsidRPr="004126B5" w:rsidRDefault="00BF71D1">
            <w:pPr>
              <w:rPr>
                <w:rFonts w:ascii="Century Gothic" w:hAnsi="Century Gothic"/>
                <w:sz w:val="20"/>
                <w:szCs w:val="20"/>
              </w:rPr>
            </w:pPr>
          </w:p>
          <w:p w:rsidR="00BF71D1" w:rsidRDefault="00BF71D1">
            <w:pPr>
              <w:rPr>
                <w:rFonts w:ascii="Century Gothic" w:hAnsi="Century Gothic"/>
                <w:sz w:val="20"/>
                <w:szCs w:val="20"/>
              </w:rPr>
            </w:pPr>
          </w:p>
          <w:p w:rsidR="00B7048A" w:rsidRDefault="00B7048A">
            <w:pPr>
              <w:rPr>
                <w:rFonts w:ascii="Century Gothic" w:hAnsi="Century Gothic"/>
                <w:sz w:val="20"/>
                <w:szCs w:val="20"/>
              </w:rPr>
            </w:pPr>
          </w:p>
          <w:p w:rsidR="00B7048A" w:rsidRDefault="00B7048A">
            <w:pPr>
              <w:rPr>
                <w:rFonts w:ascii="Century Gothic" w:hAnsi="Century Gothic"/>
                <w:sz w:val="20"/>
                <w:szCs w:val="20"/>
              </w:rPr>
            </w:pPr>
          </w:p>
          <w:p w:rsidR="00B7048A" w:rsidRDefault="00B7048A">
            <w:pPr>
              <w:rPr>
                <w:rFonts w:ascii="Century Gothic" w:hAnsi="Century Gothic"/>
                <w:sz w:val="20"/>
                <w:szCs w:val="20"/>
              </w:rPr>
            </w:pPr>
          </w:p>
          <w:p w:rsidR="00B7048A" w:rsidRDefault="00B7048A">
            <w:pPr>
              <w:rPr>
                <w:rFonts w:ascii="Century Gothic" w:hAnsi="Century Gothic"/>
                <w:sz w:val="20"/>
                <w:szCs w:val="20"/>
              </w:rPr>
            </w:pPr>
          </w:p>
          <w:p w:rsidR="00B7048A" w:rsidRDefault="00B7048A">
            <w:pPr>
              <w:rPr>
                <w:rFonts w:ascii="Century Gothic" w:hAnsi="Century Gothic"/>
                <w:sz w:val="20"/>
                <w:szCs w:val="20"/>
              </w:rPr>
            </w:pPr>
          </w:p>
          <w:p w:rsidR="00472DA5" w:rsidRDefault="00472DA5">
            <w:pPr>
              <w:rPr>
                <w:rFonts w:ascii="Century Gothic" w:hAnsi="Century Gothic"/>
                <w:sz w:val="20"/>
                <w:szCs w:val="20"/>
              </w:rPr>
            </w:pPr>
          </w:p>
          <w:p w:rsidR="00B7048A" w:rsidRDefault="00B7048A">
            <w:pPr>
              <w:rPr>
                <w:rFonts w:ascii="Century Gothic" w:hAnsi="Century Gothic"/>
                <w:sz w:val="20"/>
                <w:szCs w:val="20"/>
              </w:rPr>
            </w:pPr>
          </w:p>
          <w:p w:rsidR="00B7048A" w:rsidRDefault="00B7048A">
            <w:pPr>
              <w:rPr>
                <w:rFonts w:ascii="Century Gothic" w:hAnsi="Century Gothic"/>
                <w:sz w:val="20"/>
                <w:szCs w:val="20"/>
              </w:rPr>
            </w:pPr>
          </w:p>
          <w:p w:rsidR="00B7048A" w:rsidRPr="004126B5" w:rsidRDefault="00B7048A">
            <w:pPr>
              <w:rPr>
                <w:rFonts w:ascii="Century Gothic" w:hAnsi="Century Gothic"/>
                <w:sz w:val="20"/>
                <w:szCs w:val="20"/>
              </w:rPr>
            </w:pPr>
          </w:p>
          <w:p w:rsidR="00BF71D1" w:rsidRPr="004126B5" w:rsidRDefault="00BF71D1">
            <w:pPr>
              <w:rPr>
                <w:rFonts w:ascii="Century Gothic" w:hAnsi="Century Gothic"/>
                <w:sz w:val="20"/>
                <w:szCs w:val="20"/>
              </w:rPr>
            </w:pPr>
          </w:p>
          <w:tbl>
            <w:tblPr>
              <w:tblW w:w="9564" w:type="dxa"/>
              <w:tblCellMar>
                <w:left w:w="70" w:type="dxa"/>
                <w:right w:w="70" w:type="dxa"/>
              </w:tblCellMar>
              <w:tblLook w:val="04A0"/>
            </w:tblPr>
            <w:tblGrid>
              <w:gridCol w:w="2619"/>
              <w:gridCol w:w="1615"/>
              <w:gridCol w:w="1088"/>
              <w:gridCol w:w="1300"/>
              <w:gridCol w:w="1142"/>
              <w:gridCol w:w="1820"/>
            </w:tblGrid>
            <w:tr w:rsidR="00BF71D1" w:rsidRPr="004126B5" w:rsidTr="004126B5">
              <w:trPr>
                <w:trHeight w:val="315"/>
              </w:trPr>
              <w:tc>
                <w:tcPr>
                  <w:tcW w:w="2619"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615"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088"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30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142"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80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r>
            <w:tr w:rsidR="00BF71D1" w:rsidRPr="004126B5" w:rsidTr="004126B5">
              <w:trPr>
                <w:trHeight w:val="315"/>
              </w:trPr>
              <w:tc>
                <w:tcPr>
                  <w:tcW w:w="2619" w:type="dxa"/>
                  <w:tcBorders>
                    <w:top w:val="double" w:sz="6" w:space="0" w:color="auto"/>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double" w:sz="6" w:space="0" w:color="auto"/>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Adóalanyok száma</w:t>
                  </w:r>
                </w:p>
              </w:tc>
              <w:tc>
                <w:tcPr>
                  <w:tcW w:w="1088" w:type="dxa"/>
                  <w:tcBorders>
                    <w:top w:val="double" w:sz="6" w:space="0" w:color="auto"/>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4242" w:type="dxa"/>
                  <w:gridSpan w:val="3"/>
                  <w:tcBorders>
                    <w:top w:val="double" w:sz="6" w:space="0" w:color="auto"/>
                    <w:left w:val="nil"/>
                    <w:bottom w:val="single" w:sz="4" w:space="0" w:color="auto"/>
                    <w:right w:val="double" w:sz="6" w:space="0" w:color="000000"/>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b/>
                      <w:bCs/>
                      <w:color w:val="000000"/>
                      <w:sz w:val="20"/>
                      <w:szCs w:val="20"/>
                      <w:lang w:eastAsia="hu-HU"/>
                    </w:rPr>
                  </w:pPr>
                  <w:r w:rsidRPr="00BF71D1">
                    <w:rPr>
                      <w:rFonts w:ascii="Century Gothic" w:eastAsia="Times New Roman" w:hAnsi="Century Gothic" w:cs="Arial"/>
                      <w:b/>
                      <w:bCs/>
                      <w:color w:val="000000"/>
                      <w:sz w:val="20"/>
                      <w:szCs w:val="20"/>
                      <w:lang w:eastAsia="hu-HU"/>
                    </w:rPr>
                    <w:t>Terület szerinti adózás esetén</w:t>
                  </w:r>
                </w:p>
              </w:tc>
            </w:tr>
            <w:tr w:rsidR="00BF71D1" w:rsidRPr="004126B5" w:rsidTr="004126B5">
              <w:trPr>
                <w:trHeight w:val="315"/>
              </w:trPr>
              <w:tc>
                <w:tcPr>
                  <w:tcW w:w="2619" w:type="dxa"/>
                  <w:tcBorders>
                    <w:top w:val="nil"/>
                    <w:left w:val="double" w:sz="6" w:space="0" w:color="auto"/>
                    <w:bottom w:val="nil"/>
                    <w:right w:val="single" w:sz="4" w:space="0" w:color="auto"/>
                  </w:tcBorders>
                  <w:shd w:val="clear" w:color="auto" w:fill="auto"/>
                  <w:noWrap/>
                  <w:vAlign w:val="bottom"/>
                  <w:hideMark/>
                </w:tcPr>
                <w:p w:rsidR="00B7048A" w:rsidRPr="00B7048A" w:rsidRDefault="00B7048A" w:rsidP="00B7048A">
                  <w:pPr>
                    <w:spacing w:after="0" w:line="240" w:lineRule="auto"/>
                    <w:jc w:val="center"/>
                    <w:rPr>
                      <w:rFonts w:ascii="Century Gothic" w:eastAsia="Times New Roman" w:hAnsi="Century Gothic" w:cs="Arial"/>
                      <w:b/>
                      <w:sz w:val="20"/>
                      <w:szCs w:val="20"/>
                      <w:lang w:eastAsia="hu-HU"/>
                    </w:rPr>
                  </w:pPr>
                  <w:r w:rsidRPr="00B7048A">
                    <w:rPr>
                      <w:rFonts w:ascii="Century Gothic" w:eastAsia="Times New Roman" w:hAnsi="Century Gothic" w:cs="Arial"/>
                      <w:b/>
                      <w:sz w:val="20"/>
                      <w:szCs w:val="20"/>
                      <w:lang w:eastAsia="hu-HU"/>
                    </w:rPr>
                    <w:t>Telekadó kivetés</w:t>
                  </w:r>
                </w:p>
                <w:p w:rsidR="00BF71D1" w:rsidRPr="00B7048A" w:rsidRDefault="00B7048A" w:rsidP="00B7048A">
                  <w:pPr>
                    <w:spacing w:after="0" w:line="240" w:lineRule="auto"/>
                    <w:jc w:val="center"/>
                    <w:rPr>
                      <w:rFonts w:ascii="Century Gothic" w:eastAsia="Times New Roman" w:hAnsi="Century Gothic" w:cs="Arial"/>
                      <w:b/>
                      <w:sz w:val="20"/>
                      <w:szCs w:val="20"/>
                      <w:lang w:eastAsia="hu-HU"/>
                    </w:rPr>
                  </w:pPr>
                  <w:r w:rsidRPr="00B7048A">
                    <w:rPr>
                      <w:rFonts w:ascii="Century Gothic" w:eastAsia="Times New Roman" w:hAnsi="Century Gothic" w:cs="Arial"/>
                      <w:b/>
                      <w:sz w:val="20"/>
                      <w:szCs w:val="20"/>
                      <w:lang w:eastAsia="hu-HU"/>
                    </w:rPr>
                    <w:t>2021.</w:t>
                  </w:r>
                </w:p>
                <w:p w:rsidR="00B7048A" w:rsidRPr="00BF71D1" w:rsidRDefault="00B7048A" w:rsidP="00B7048A">
                  <w:pPr>
                    <w:spacing w:after="0" w:line="240" w:lineRule="auto"/>
                    <w:jc w:val="center"/>
                    <w:rPr>
                      <w:rFonts w:ascii="Century Gothic" w:eastAsia="Times New Roman" w:hAnsi="Century Gothic" w:cs="Arial"/>
                      <w:b/>
                      <w:sz w:val="20"/>
                      <w:szCs w:val="20"/>
                      <w:lang w:eastAsia="hu-HU"/>
                    </w:rPr>
                  </w:pPr>
                  <w:r w:rsidRPr="00B7048A">
                    <w:rPr>
                      <w:rFonts w:ascii="Century Gothic" w:eastAsia="Times New Roman" w:hAnsi="Century Gothic" w:cs="Arial"/>
                      <w:b/>
                      <w:sz w:val="20"/>
                      <w:szCs w:val="20"/>
                      <w:lang w:eastAsia="hu-HU"/>
                    </w:rPr>
                    <w:t>Jogi személyek</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tulajdonos vagy vagyoni</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xml:space="preserve">Adótárgyak </w:t>
                  </w:r>
                </w:p>
              </w:tc>
              <w:tc>
                <w:tcPr>
                  <w:tcW w:w="1142"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Terület</w:t>
                  </w:r>
                </w:p>
              </w:tc>
              <w:tc>
                <w:tcPr>
                  <w:tcW w:w="18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Adómegállapítás</w:t>
                  </w:r>
                </w:p>
              </w:tc>
            </w:tr>
            <w:tr w:rsidR="00BF71D1" w:rsidRPr="004126B5" w:rsidTr="004126B5">
              <w:trPr>
                <w:trHeight w:val="315"/>
              </w:trPr>
              <w:tc>
                <w:tcPr>
                  <w:tcW w:w="2619"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értékű jog jogosítottja</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száma</w:t>
                  </w:r>
                </w:p>
              </w:tc>
              <w:tc>
                <w:tcPr>
                  <w:tcW w:w="1142"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(adóalap)</w:t>
                  </w:r>
                </w:p>
              </w:tc>
              <w:tc>
                <w:tcPr>
                  <w:tcW w:w="18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15"/>
              </w:trPr>
              <w:tc>
                <w:tcPr>
                  <w:tcW w:w="2619"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magánszemély</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egyéb </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8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15"/>
              </w:trPr>
              <w:tc>
                <w:tcPr>
                  <w:tcW w:w="2619" w:type="dxa"/>
                  <w:tcBorders>
                    <w:top w:val="nil"/>
                    <w:left w:val="double" w:sz="6" w:space="0" w:color="auto"/>
                    <w:bottom w:val="nil"/>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w:t>
                  </w:r>
                </w:p>
              </w:tc>
              <w:tc>
                <w:tcPr>
                  <w:tcW w:w="1615"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(fő)</w:t>
                  </w:r>
                </w:p>
              </w:tc>
              <w:tc>
                <w:tcPr>
                  <w:tcW w:w="1088"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adóalany</w:t>
                  </w:r>
                </w:p>
              </w:tc>
              <w:tc>
                <w:tcPr>
                  <w:tcW w:w="13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142"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c>
                <w:tcPr>
                  <w:tcW w:w="1800" w:type="dxa"/>
                  <w:tcBorders>
                    <w:top w:val="nil"/>
                    <w:left w:val="nil"/>
                    <w:bottom w:val="nil"/>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Arial"/>
                      <w:color w:val="000000"/>
                      <w:sz w:val="20"/>
                      <w:szCs w:val="20"/>
                      <w:lang w:eastAsia="hu-HU"/>
                    </w:rPr>
                  </w:pPr>
                  <w:r w:rsidRPr="00BF71D1">
                    <w:rPr>
                      <w:rFonts w:ascii="Century Gothic" w:eastAsia="Times New Roman" w:hAnsi="Century Gothic" w:cs="Arial"/>
                      <w:color w:val="000000"/>
                      <w:sz w:val="20"/>
                      <w:szCs w:val="20"/>
                      <w:lang w:eastAsia="hu-HU"/>
                    </w:rPr>
                    <w:t> </w:t>
                  </w:r>
                </w:p>
              </w:tc>
            </w:tr>
            <w:tr w:rsidR="00BF71D1" w:rsidRPr="004126B5" w:rsidTr="004126B5">
              <w:trPr>
                <w:trHeight w:val="300"/>
              </w:trPr>
              <w:tc>
                <w:tcPr>
                  <w:tcW w:w="2619" w:type="dxa"/>
                  <w:tcBorders>
                    <w:top w:val="nil"/>
                    <w:left w:val="double" w:sz="6" w:space="0" w:color="auto"/>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615"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088"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(fő, db)</w:t>
                  </w:r>
                </w:p>
              </w:tc>
              <w:tc>
                <w:tcPr>
                  <w:tcW w:w="13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(db)</w:t>
                  </w:r>
                </w:p>
              </w:tc>
              <w:tc>
                <w:tcPr>
                  <w:tcW w:w="1142"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(m</w:t>
                  </w:r>
                  <w:r w:rsidRPr="00BF71D1">
                    <w:rPr>
                      <w:rFonts w:ascii="Century Gothic" w:eastAsia="Times New Roman" w:hAnsi="Century Gothic" w:cs="Calibri"/>
                      <w:color w:val="000000"/>
                      <w:sz w:val="20"/>
                      <w:szCs w:val="20"/>
                      <w:vertAlign w:val="superscript"/>
                      <w:lang w:eastAsia="hu-HU"/>
                    </w:rPr>
                    <w:t>2</w:t>
                  </w:r>
                  <w:r w:rsidRPr="00BF71D1">
                    <w:rPr>
                      <w:rFonts w:ascii="Century Gothic" w:eastAsia="Times New Roman" w:hAnsi="Century Gothic" w:cs="Calibri"/>
                      <w:color w:val="000000"/>
                      <w:sz w:val="20"/>
                      <w:szCs w:val="20"/>
                      <w:lang w:eastAsia="hu-HU"/>
                    </w:rPr>
                    <w:t>)</w:t>
                  </w:r>
                </w:p>
              </w:tc>
              <w:tc>
                <w:tcPr>
                  <w:tcW w:w="18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center"/>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(Ft)</w:t>
                  </w:r>
                </w:p>
              </w:tc>
            </w:tr>
            <w:tr w:rsidR="00BF71D1" w:rsidRPr="004126B5" w:rsidTr="004126B5">
              <w:trPr>
                <w:trHeight w:val="259"/>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1.  Belterületi földrészlet  teljes alapterülete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27</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27</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257 934</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24 040 850</w:t>
                  </w:r>
                </w:p>
              </w:tc>
            </w:tr>
            <w:tr w:rsidR="00BF71D1" w:rsidRPr="004126B5" w:rsidTr="004126B5">
              <w:trPr>
                <w:trHeight w:val="259"/>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2.  Építménnyel lefedett terület</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7</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7</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5 032</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1 093 171</w:t>
                  </w:r>
                </w:p>
              </w:tc>
            </w:tr>
            <w:tr w:rsidR="00BF71D1" w:rsidRPr="004126B5" w:rsidTr="004126B5">
              <w:trPr>
                <w:trHeight w:val="252"/>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3.  Htv. 19.§ a)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4.  Htv. 19.§ b)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5.  Htv. 19.§ c) pontja alapján mentes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6.  Htv. 19.§ d) pontja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  7.  Önkormányzati döntés alapján mentes</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  8. Adóköteles terület (1-(2+3+4+5+6+7))</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20</w:t>
                  </w:r>
                </w:p>
              </w:tc>
              <w:tc>
                <w:tcPr>
                  <w:tcW w:w="1142"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252 902</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22 947 679</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  9. Belterületi földrészlet adója</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27</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27</w:t>
                  </w:r>
                </w:p>
              </w:tc>
              <w:tc>
                <w:tcPr>
                  <w:tcW w:w="1142" w:type="dxa"/>
                  <w:tcBorders>
                    <w:top w:val="nil"/>
                    <w:left w:val="nil"/>
                    <w:bottom w:val="single" w:sz="4"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 </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24 040 850</w:t>
                  </w:r>
                </w:p>
              </w:tc>
            </w:tr>
            <w:tr w:rsidR="00BF71D1" w:rsidRPr="004126B5" w:rsidTr="004126B5">
              <w:trPr>
                <w:trHeight w:val="300"/>
              </w:trPr>
              <w:tc>
                <w:tcPr>
                  <w:tcW w:w="2619" w:type="dxa"/>
                  <w:tcBorders>
                    <w:top w:val="nil"/>
                    <w:left w:val="double" w:sz="6" w:space="0" w:color="auto"/>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sz w:val="20"/>
                      <w:szCs w:val="20"/>
                      <w:lang w:eastAsia="hu-HU"/>
                    </w:rPr>
                  </w:pPr>
                  <w:r w:rsidRPr="00BF71D1">
                    <w:rPr>
                      <w:rFonts w:ascii="Century Gothic" w:eastAsia="Times New Roman" w:hAnsi="Century Gothic" w:cs="Arial"/>
                      <w:sz w:val="20"/>
                      <w:szCs w:val="20"/>
                      <w:lang w:eastAsia="hu-HU"/>
                    </w:rPr>
                    <w:t xml:space="preserve">10. Önkormányzati döntés alapján kedvezmény </w:t>
                  </w:r>
                </w:p>
              </w:tc>
              <w:tc>
                <w:tcPr>
                  <w:tcW w:w="1615"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088"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3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c>
                <w:tcPr>
                  <w:tcW w:w="1142" w:type="dxa"/>
                  <w:tcBorders>
                    <w:top w:val="nil"/>
                    <w:left w:val="nil"/>
                    <w:bottom w:val="single" w:sz="4"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 </w:t>
                  </w:r>
                </w:p>
              </w:tc>
              <w:tc>
                <w:tcPr>
                  <w:tcW w:w="1800" w:type="dxa"/>
                  <w:tcBorders>
                    <w:top w:val="nil"/>
                    <w:left w:val="nil"/>
                    <w:bottom w:val="single" w:sz="4"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color w:val="000000"/>
                      <w:sz w:val="20"/>
                      <w:szCs w:val="20"/>
                      <w:lang w:eastAsia="hu-HU"/>
                    </w:rPr>
                  </w:pPr>
                  <w:r w:rsidRPr="00BF71D1">
                    <w:rPr>
                      <w:rFonts w:ascii="Century Gothic" w:eastAsia="Times New Roman" w:hAnsi="Century Gothic" w:cs="Calibri"/>
                      <w:color w:val="000000"/>
                      <w:sz w:val="20"/>
                      <w:szCs w:val="20"/>
                      <w:lang w:eastAsia="hu-HU"/>
                    </w:rPr>
                    <w:t>0</w:t>
                  </w:r>
                </w:p>
              </w:tc>
            </w:tr>
            <w:tr w:rsidR="00BF71D1" w:rsidRPr="004126B5" w:rsidTr="004126B5">
              <w:trPr>
                <w:trHeight w:val="300"/>
              </w:trPr>
              <w:tc>
                <w:tcPr>
                  <w:tcW w:w="2619" w:type="dxa"/>
                  <w:tcBorders>
                    <w:top w:val="nil"/>
                    <w:left w:val="double" w:sz="6" w:space="0" w:color="auto"/>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Arial"/>
                      <w:b/>
                      <w:bCs/>
                      <w:sz w:val="20"/>
                      <w:szCs w:val="20"/>
                      <w:lang w:eastAsia="hu-HU"/>
                    </w:rPr>
                  </w:pPr>
                  <w:r w:rsidRPr="00BF71D1">
                    <w:rPr>
                      <w:rFonts w:ascii="Century Gothic" w:eastAsia="Times New Roman" w:hAnsi="Century Gothic" w:cs="Arial"/>
                      <w:b/>
                      <w:bCs/>
                      <w:sz w:val="20"/>
                      <w:szCs w:val="20"/>
                      <w:lang w:eastAsia="hu-HU"/>
                    </w:rPr>
                    <w:t xml:space="preserve">11. FIZETENDŐ ADÓ   (10-(12+13))                                 </w:t>
                  </w:r>
                </w:p>
              </w:tc>
              <w:tc>
                <w:tcPr>
                  <w:tcW w:w="1615"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0</w:t>
                  </w:r>
                </w:p>
              </w:tc>
              <w:tc>
                <w:tcPr>
                  <w:tcW w:w="1088"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27</w:t>
                  </w:r>
                </w:p>
              </w:tc>
              <w:tc>
                <w:tcPr>
                  <w:tcW w:w="13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27</w:t>
                  </w:r>
                </w:p>
              </w:tc>
              <w:tc>
                <w:tcPr>
                  <w:tcW w:w="1142" w:type="dxa"/>
                  <w:tcBorders>
                    <w:top w:val="nil"/>
                    <w:left w:val="nil"/>
                    <w:bottom w:val="double" w:sz="6" w:space="0" w:color="auto"/>
                    <w:right w:val="single" w:sz="4" w:space="0" w:color="auto"/>
                  </w:tcBorders>
                  <w:shd w:val="clear" w:color="000000" w:fill="D9D9D9"/>
                  <w:noWrap/>
                  <w:vAlign w:val="bottom"/>
                  <w:hideMark/>
                </w:tcPr>
                <w:p w:rsidR="00BF71D1" w:rsidRPr="00BF71D1" w:rsidRDefault="00BF71D1" w:rsidP="00BF71D1">
                  <w:pPr>
                    <w:spacing w:after="0" w:line="240" w:lineRule="auto"/>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 </w:t>
                  </w:r>
                </w:p>
              </w:tc>
              <w:tc>
                <w:tcPr>
                  <w:tcW w:w="1800" w:type="dxa"/>
                  <w:tcBorders>
                    <w:top w:val="nil"/>
                    <w:left w:val="nil"/>
                    <w:bottom w:val="double" w:sz="6" w:space="0" w:color="auto"/>
                    <w:right w:val="single" w:sz="4" w:space="0" w:color="auto"/>
                  </w:tcBorders>
                  <w:shd w:val="clear" w:color="auto" w:fill="auto"/>
                  <w:noWrap/>
                  <w:vAlign w:val="bottom"/>
                  <w:hideMark/>
                </w:tcPr>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r w:rsidRPr="00BF71D1">
                    <w:rPr>
                      <w:rFonts w:ascii="Century Gothic" w:eastAsia="Times New Roman" w:hAnsi="Century Gothic" w:cs="Calibri"/>
                      <w:b/>
                      <w:bCs/>
                      <w:color w:val="000000"/>
                      <w:sz w:val="20"/>
                      <w:szCs w:val="20"/>
                      <w:lang w:eastAsia="hu-HU"/>
                    </w:rPr>
                    <w:t>24 040 850</w:t>
                  </w:r>
                </w:p>
              </w:tc>
            </w:tr>
          </w:tbl>
          <w:p w:rsidR="00BF71D1" w:rsidRPr="00BF71D1" w:rsidRDefault="00BF71D1" w:rsidP="00BF71D1">
            <w:pPr>
              <w:spacing w:after="0" w:line="240" w:lineRule="auto"/>
              <w:jc w:val="right"/>
              <w:rPr>
                <w:rFonts w:ascii="Century Gothic" w:eastAsia="Times New Roman" w:hAnsi="Century Gothic" w:cs="Calibri"/>
                <w:b/>
                <w:bCs/>
                <w:color w:val="000000"/>
                <w:sz w:val="20"/>
                <w:szCs w:val="20"/>
                <w:lang w:eastAsia="hu-HU"/>
              </w:rPr>
            </w:pPr>
          </w:p>
        </w:tc>
        <w:tc>
          <w:tcPr>
            <w:tcW w:w="1952"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32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32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60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60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088"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552"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c>
          <w:tcPr>
            <w:tcW w:w="1600" w:type="dxa"/>
            <w:tcBorders>
              <w:top w:val="nil"/>
              <w:left w:val="nil"/>
              <w:bottom w:val="nil"/>
              <w:right w:val="nil"/>
            </w:tcBorders>
            <w:shd w:val="clear" w:color="auto" w:fill="auto"/>
            <w:noWrap/>
            <w:vAlign w:val="bottom"/>
            <w:hideMark/>
          </w:tcPr>
          <w:p w:rsidR="00BF71D1" w:rsidRPr="00BF71D1" w:rsidRDefault="00BF71D1" w:rsidP="00BF71D1">
            <w:pPr>
              <w:spacing w:after="0" w:line="240" w:lineRule="auto"/>
              <w:rPr>
                <w:rFonts w:ascii="Century Gothic" w:eastAsia="Times New Roman" w:hAnsi="Century Gothic" w:cs="Times New Roman"/>
                <w:sz w:val="20"/>
                <w:szCs w:val="20"/>
                <w:lang w:eastAsia="hu-HU"/>
              </w:rPr>
            </w:pPr>
          </w:p>
        </w:tc>
      </w:tr>
    </w:tbl>
    <w:p w:rsidR="00BF71D1" w:rsidRPr="004126B5" w:rsidRDefault="00BF71D1" w:rsidP="002E2502">
      <w:pPr>
        <w:jc w:val="both"/>
        <w:rPr>
          <w:rFonts w:ascii="Century Gothic" w:hAnsi="Century Gothic"/>
          <w:sz w:val="20"/>
          <w:szCs w:val="20"/>
        </w:rPr>
      </w:pPr>
    </w:p>
    <w:p w:rsidR="00F4451C" w:rsidRPr="004126B5" w:rsidRDefault="00F4451C" w:rsidP="002E2502">
      <w:pPr>
        <w:jc w:val="both"/>
        <w:rPr>
          <w:rFonts w:ascii="Century Gothic" w:hAnsi="Century Gothic"/>
          <w:sz w:val="20"/>
          <w:szCs w:val="20"/>
        </w:rPr>
      </w:pPr>
      <w:r w:rsidRPr="004126B5">
        <w:rPr>
          <w:rFonts w:ascii="Century Gothic" w:hAnsi="Century Gothic"/>
          <w:sz w:val="20"/>
          <w:szCs w:val="20"/>
        </w:rPr>
        <w:t>A rövid áttekintés után a helyi adókkal kapcsolatos fontosabb jogszabályokról:</w:t>
      </w:r>
    </w:p>
    <w:p w:rsidR="00E93423" w:rsidRPr="004126B5" w:rsidRDefault="00F4451C" w:rsidP="002E2502">
      <w:pPr>
        <w:jc w:val="both"/>
        <w:rPr>
          <w:rFonts w:ascii="Century Gothic" w:hAnsi="Century Gothic"/>
          <w:sz w:val="20"/>
          <w:szCs w:val="20"/>
        </w:rPr>
      </w:pPr>
      <w:r w:rsidRPr="004126B5">
        <w:rPr>
          <w:rFonts w:ascii="Century Gothic" w:hAnsi="Century Gothic"/>
          <w:b/>
          <w:sz w:val="20"/>
          <w:szCs w:val="20"/>
        </w:rPr>
        <w:t>A helyi adókról szóló 1990. évi C. törvény</w:t>
      </w:r>
      <w:r w:rsidRPr="004126B5">
        <w:rPr>
          <w:rFonts w:ascii="Century Gothic" w:hAnsi="Century Gothic"/>
          <w:sz w:val="20"/>
          <w:szCs w:val="20"/>
        </w:rPr>
        <w:t xml:space="preserve"> (a továb</w:t>
      </w:r>
      <w:r w:rsidR="00E93423" w:rsidRPr="004126B5">
        <w:rPr>
          <w:rFonts w:ascii="Century Gothic" w:hAnsi="Century Gothic"/>
          <w:sz w:val="20"/>
          <w:szCs w:val="20"/>
        </w:rPr>
        <w:t>biakban: Hatv.) 1. § (1) bekezdése hatalmazza fel a képviselő-testületet helyi adó bevezetésére.</w:t>
      </w:r>
    </w:p>
    <w:p w:rsidR="00E93423" w:rsidRPr="004126B5" w:rsidRDefault="00E93423" w:rsidP="00B7048A">
      <w:pPr>
        <w:spacing w:before="100" w:beforeAutospacing="1" w:after="100" w:afterAutospacing="1" w:line="240" w:lineRule="auto"/>
        <w:jc w:val="both"/>
        <w:rPr>
          <w:rFonts w:ascii="Century Gothic" w:eastAsia="Times New Roman" w:hAnsi="Century Gothic" w:cs="Times New Roman"/>
          <w:sz w:val="20"/>
          <w:szCs w:val="20"/>
          <w:lang w:eastAsia="hu-HU"/>
        </w:rPr>
      </w:pPr>
      <w:r w:rsidRPr="004126B5">
        <w:rPr>
          <w:rFonts w:ascii="Century Gothic" w:eastAsia="Times New Roman" w:hAnsi="Century Gothic" w:cs="Times New Roman"/>
          <w:sz w:val="20"/>
          <w:szCs w:val="20"/>
          <w:lang w:eastAsia="hu-HU"/>
        </w:rPr>
        <w:t>A települési önkormányzat az illetékességi területén rendelettel olyan települési adót, települési adóka</w:t>
      </w:r>
      <w:r w:rsidR="0058100A">
        <w:rPr>
          <w:rFonts w:ascii="Century Gothic" w:eastAsia="Times New Roman" w:hAnsi="Century Gothic" w:cs="Times New Roman"/>
          <w:sz w:val="20"/>
          <w:szCs w:val="20"/>
          <w:lang w:eastAsia="hu-HU"/>
        </w:rPr>
        <w:t>t vezethet be, amelyet/ket</w:t>
      </w:r>
      <w:r w:rsidRPr="004126B5">
        <w:rPr>
          <w:rFonts w:ascii="Century Gothic" w:eastAsia="Times New Roman" w:hAnsi="Century Gothic" w:cs="Times New Roman"/>
          <w:sz w:val="20"/>
          <w:szCs w:val="20"/>
          <w:lang w:eastAsia="hu-HU"/>
        </w:rPr>
        <w:t xml:space="preserve"> más törvény nem tilt. Az önkormányzat települési adót bármely adótárgyra megállapíthat, feltéve, hogy arra nem terjed ki törvényben szabályozott közteher hatálya. A települési adónak nem lehet alanya állam, önkormányzat, szervezet, továbbá – e minőségére tekintettel – vállalkozó.</w:t>
      </w:r>
    </w:p>
    <w:p w:rsidR="00E93423" w:rsidRPr="004126B5" w:rsidRDefault="00E93423" w:rsidP="00E93423">
      <w:pPr>
        <w:spacing w:before="100" w:beforeAutospacing="1" w:after="100" w:afterAutospacing="1" w:line="240" w:lineRule="auto"/>
        <w:rPr>
          <w:rFonts w:ascii="Century Gothic" w:eastAsia="Times New Roman" w:hAnsi="Century Gothic" w:cs="Times New Roman"/>
          <w:sz w:val="20"/>
          <w:szCs w:val="20"/>
          <w:lang w:eastAsia="hu-HU"/>
        </w:rPr>
      </w:pPr>
      <w:r w:rsidRPr="004126B5">
        <w:rPr>
          <w:rFonts w:ascii="Century Gothic" w:eastAsia="Times New Roman" w:hAnsi="Century Gothic" w:cs="Times New Roman"/>
          <w:sz w:val="20"/>
          <w:szCs w:val="20"/>
          <w:lang w:eastAsia="hu-HU"/>
        </w:rPr>
        <w:t>A települési adóval kapcsolatos adóhatósági feladatokat az önkormányzati adóhatóság látja el.</w:t>
      </w:r>
    </w:p>
    <w:p w:rsidR="00E93423" w:rsidRPr="004126B5" w:rsidRDefault="00E93423" w:rsidP="00E93423">
      <w:pPr>
        <w:spacing w:before="100" w:beforeAutospacing="1" w:after="100" w:afterAutospacing="1" w:line="240" w:lineRule="auto"/>
        <w:rPr>
          <w:rFonts w:ascii="Century Gothic" w:eastAsia="Times New Roman" w:hAnsi="Century Gothic" w:cs="Times New Roman"/>
          <w:sz w:val="20"/>
          <w:szCs w:val="20"/>
          <w:lang w:eastAsia="hu-HU"/>
        </w:rPr>
      </w:pPr>
      <w:r w:rsidRPr="004126B5">
        <w:rPr>
          <w:rFonts w:ascii="Century Gothic" w:eastAsia="Times New Roman" w:hAnsi="Century Gothic" w:cs="Times New Roman"/>
          <w:sz w:val="20"/>
          <w:szCs w:val="20"/>
          <w:lang w:eastAsia="hu-HU"/>
        </w:rPr>
        <w:t>A települési adóval kapcsolatos eljárási kérdésekben az adózás rendjéről szóló törvény rendelkezéseit azzal az eltéréssel kell alkalmazni</w:t>
      </w:r>
    </w:p>
    <w:p w:rsidR="00E93423" w:rsidRPr="004126B5" w:rsidRDefault="00E93423" w:rsidP="00E93423">
      <w:pPr>
        <w:spacing w:before="100" w:beforeAutospacing="1" w:after="100" w:afterAutospacing="1" w:line="240" w:lineRule="auto"/>
        <w:rPr>
          <w:rFonts w:ascii="Century Gothic" w:eastAsia="Times New Roman" w:hAnsi="Century Gothic" w:cs="Times New Roman"/>
          <w:sz w:val="20"/>
          <w:szCs w:val="20"/>
          <w:lang w:eastAsia="hu-HU"/>
        </w:rPr>
      </w:pPr>
      <w:r w:rsidRPr="004126B5">
        <w:rPr>
          <w:rFonts w:ascii="Century Gothic" w:eastAsia="Times New Roman" w:hAnsi="Century Gothic" w:cs="Times New Roman"/>
          <w:sz w:val="20"/>
          <w:szCs w:val="20"/>
          <w:lang w:eastAsia="hu-HU"/>
        </w:rPr>
        <w:t>A települési adóból származó bevétel az azt megállapító önkormányzat bevétele, amelyet fejlesztési célra és a települési önkormányzat képviselő-testületének hatáskörébe tartozó szociális ellátások finanszírozására használhat fel.</w:t>
      </w:r>
    </w:p>
    <w:p w:rsidR="00E93423" w:rsidRPr="00472DA5" w:rsidRDefault="00E93423" w:rsidP="00E93423">
      <w:pPr>
        <w:spacing w:before="100" w:beforeAutospacing="1" w:after="100" w:afterAutospacing="1" w:line="240" w:lineRule="auto"/>
        <w:rPr>
          <w:rFonts w:ascii="Century Gothic" w:eastAsia="Times New Roman" w:hAnsi="Century Gothic" w:cs="Times New Roman"/>
          <w:b/>
          <w:lang w:eastAsia="hu-HU"/>
        </w:rPr>
      </w:pPr>
      <w:r w:rsidRPr="00472DA5">
        <w:rPr>
          <w:rFonts w:ascii="Century Gothic" w:eastAsia="Times New Roman" w:hAnsi="Century Gothic" w:cs="Times New Roman"/>
          <w:b/>
          <w:lang w:eastAsia="hu-HU"/>
        </w:rPr>
        <w:t>Az önkormányzat adómegállapítási joga az e törvényben meghatározott adóalanyokra és adótárgyakra terjed ki.</w:t>
      </w:r>
    </w:p>
    <w:p w:rsidR="00FD3BEF" w:rsidRPr="00472DA5" w:rsidRDefault="00B7048A" w:rsidP="00E93423">
      <w:pPr>
        <w:spacing w:before="100" w:beforeAutospacing="1" w:after="100" w:afterAutospacing="1" w:line="240" w:lineRule="auto"/>
        <w:rPr>
          <w:rFonts w:ascii="Century Gothic" w:eastAsia="Times New Roman" w:hAnsi="Century Gothic" w:cs="Times New Roman"/>
          <w:b/>
          <w:lang w:eastAsia="hu-HU"/>
        </w:rPr>
      </w:pPr>
      <w:r w:rsidRPr="00472DA5">
        <w:rPr>
          <w:rFonts w:ascii="Century Gothic" w:eastAsia="Times New Roman" w:hAnsi="Century Gothic" w:cs="Times New Roman"/>
          <w:b/>
          <w:lang w:eastAsia="hu-HU"/>
        </w:rPr>
        <w:t xml:space="preserve">Az egyes tételes </w:t>
      </w:r>
      <w:r w:rsidR="00FD3BEF" w:rsidRPr="00472DA5">
        <w:rPr>
          <w:rFonts w:ascii="Century Gothic" w:eastAsia="Times New Roman" w:hAnsi="Century Gothic" w:cs="Times New Roman"/>
          <w:b/>
          <w:lang w:eastAsia="hu-HU"/>
        </w:rPr>
        <w:t>helyi adómértékek adómaximumát Htv</w:t>
      </w:r>
      <w:r w:rsidR="0058100A" w:rsidRPr="00472DA5">
        <w:rPr>
          <w:rFonts w:ascii="Century Gothic" w:eastAsia="Times New Roman" w:hAnsi="Century Gothic" w:cs="Times New Roman"/>
          <w:b/>
          <w:lang w:eastAsia="hu-HU"/>
        </w:rPr>
        <w:t>. alapján</w:t>
      </w:r>
      <w:r w:rsidR="00FD3BEF" w:rsidRPr="00472DA5">
        <w:rPr>
          <w:rFonts w:ascii="Century Gothic" w:eastAsia="Times New Roman" w:hAnsi="Century Gothic" w:cs="Times New Roman"/>
          <w:b/>
          <w:lang w:eastAsia="hu-HU"/>
        </w:rPr>
        <w:t xml:space="preserve"> a Pénzügyminisztérium Jövedelemadók és Járulékok Főosztálya minden évben közzéteszi.</w:t>
      </w:r>
    </w:p>
    <w:p w:rsidR="00FD3BEF" w:rsidRPr="00472DA5" w:rsidRDefault="00FD3BEF" w:rsidP="00E93423">
      <w:pPr>
        <w:spacing w:before="100" w:beforeAutospacing="1" w:after="100" w:afterAutospacing="1" w:line="240" w:lineRule="auto"/>
        <w:rPr>
          <w:rFonts w:ascii="Century Gothic" w:eastAsia="Times New Roman" w:hAnsi="Century Gothic" w:cs="Times New Roman"/>
          <w:b/>
          <w:lang w:eastAsia="hu-HU"/>
        </w:rPr>
      </w:pPr>
      <w:r w:rsidRPr="00472DA5">
        <w:rPr>
          <w:rFonts w:ascii="Century Gothic" w:eastAsia="Times New Roman" w:hAnsi="Century Gothic" w:cs="Times New Roman"/>
          <w:b/>
          <w:lang w:eastAsia="hu-HU"/>
        </w:rPr>
        <w:t>2021. január 1-jétől az adómaximum</w:t>
      </w:r>
    </w:p>
    <w:tbl>
      <w:tblPr>
        <w:tblStyle w:val="Rcsostblzat"/>
        <w:tblW w:w="0" w:type="auto"/>
        <w:tblLook w:val="04A0"/>
      </w:tblPr>
      <w:tblGrid>
        <w:gridCol w:w="5665"/>
        <w:gridCol w:w="3397"/>
      </w:tblGrid>
      <w:tr w:rsidR="00FD3BEF" w:rsidRPr="00472DA5" w:rsidTr="00FD3BEF">
        <w:trPr>
          <w:trHeight w:val="493"/>
        </w:trPr>
        <w:tc>
          <w:tcPr>
            <w:tcW w:w="5665" w:type="dxa"/>
          </w:tcPr>
          <w:p w:rsidR="00FD3BEF" w:rsidRPr="00472DA5" w:rsidRDefault="00FD3BEF" w:rsidP="00E93423">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Adónem</w:t>
            </w:r>
          </w:p>
        </w:tc>
        <w:tc>
          <w:tcPr>
            <w:tcW w:w="3397" w:type="dxa"/>
          </w:tcPr>
          <w:p w:rsidR="00FD3BEF" w:rsidRPr="00472DA5" w:rsidRDefault="00FD3BEF" w:rsidP="00E93423">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Adómaximum</w:t>
            </w:r>
          </w:p>
        </w:tc>
      </w:tr>
      <w:tr w:rsidR="00FD3BEF" w:rsidRPr="00472DA5" w:rsidTr="00FD3BEF">
        <w:tc>
          <w:tcPr>
            <w:tcW w:w="5665" w:type="dxa"/>
          </w:tcPr>
          <w:p w:rsidR="00FD3BEF" w:rsidRPr="00472DA5" w:rsidRDefault="00FD3BEF" w:rsidP="00E93423">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Építményadó (épület, épületrész után)</w:t>
            </w:r>
          </w:p>
        </w:tc>
        <w:tc>
          <w:tcPr>
            <w:tcW w:w="3397" w:type="dxa"/>
          </w:tcPr>
          <w:p w:rsidR="00FD3BEF" w:rsidRPr="00472DA5" w:rsidRDefault="00FD3BEF" w:rsidP="00FD3BEF">
            <w:pPr>
              <w:spacing w:before="100" w:beforeAutospacing="1" w:after="100" w:afterAutospacing="1"/>
              <w:jc w:val="right"/>
              <w:rPr>
                <w:rFonts w:ascii="Century Gothic" w:eastAsia="Times New Roman" w:hAnsi="Century Gothic" w:cs="Times New Roman"/>
                <w:lang w:eastAsia="hu-HU"/>
              </w:rPr>
            </w:pPr>
            <w:r w:rsidRPr="00472DA5">
              <w:rPr>
                <w:rFonts w:ascii="Century Gothic" w:eastAsia="Times New Roman" w:hAnsi="Century Gothic" w:cs="Times New Roman"/>
                <w:lang w:eastAsia="hu-HU"/>
              </w:rPr>
              <w:t>2.018 Ft/m2</w:t>
            </w:r>
          </w:p>
        </w:tc>
      </w:tr>
      <w:tr w:rsidR="00FD3BEF" w:rsidRPr="00472DA5" w:rsidTr="00FD3BEF">
        <w:tc>
          <w:tcPr>
            <w:tcW w:w="5665" w:type="dxa"/>
          </w:tcPr>
          <w:p w:rsidR="00FD3BEF" w:rsidRPr="00472DA5" w:rsidRDefault="00FD3BEF" w:rsidP="00FD3BEF">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 xml:space="preserve">Telekadó: </w:t>
            </w:r>
          </w:p>
        </w:tc>
        <w:tc>
          <w:tcPr>
            <w:tcW w:w="3397" w:type="dxa"/>
          </w:tcPr>
          <w:p w:rsidR="00FD3BEF" w:rsidRPr="00472DA5" w:rsidRDefault="00FD3BEF" w:rsidP="00FD3BEF">
            <w:pPr>
              <w:spacing w:before="100" w:beforeAutospacing="1" w:after="100" w:afterAutospacing="1"/>
              <w:jc w:val="right"/>
              <w:rPr>
                <w:rFonts w:ascii="Century Gothic" w:eastAsia="Times New Roman" w:hAnsi="Century Gothic" w:cs="Times New Roman"/>
                <w:lang w:eastAsia="hu-HU"/>
              </w:rPr>
            </w:pPr>
            <w:r w:rsidRPr="00472DA5">
              <w:rPr>
                <w:rFonts w:ascii="Century Gothic" w:eastAsia="Times New Roman" w:hAnsi="Century Gothic" w:cs="Times New Roman"/>
                <w:lang w:eastAsia="hu-HU"/>
              </w:rPr>
              <w:t>366,9 Ft/m2</w:t>
            </w:r>
          </w:p>
        </w:tc>
      </w:tr>
      <w:tr w:rsidR="00FD3BEF" w:rsidRPr="00472DA5" w:rsidTr="00FD3BEF">
        <w:tc>
          <w:tcPr>
            <w:tcW w:w="5665" w:type="dxa"/>
          </w:tcPr>
          <w:p w:rsidR="00FD3BEF" w:rsidRPr="00472DA5" w:rsidRDefault="00FD3BEF" w:rsidP="00E93423">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 xml:space="preserve">Magánszemély kommunális adója: </w:t>
            </w:r>
          </w:p>
        </w:tc>
        <w:tc>
          <w:tcPr>
            <w:tcW w:w="3397" w:type="dxa"/>
          </w:tcPr>
          <w:p w:rsidR="00FD3BEF" w:rsidRPr="00472DA5" w:rsidRDefault="00FD3BEF" w:rsidP="00FD3BEF">
            <w:pPr>
              <w:spacing w:before="100" w:beforeAutospacing="1" w:after="100" w:afterAutospacing="1"/>
              <w:jc w:val="right"/>
              <w:rPr>
                <w:rFonts w:ascii="Century Gothic" w:eastAsia="Times New Roman" w:hAnsi="Century Gothic" w:cs="Times New Roman"/>
                <w:lang w:eastAsia="hu-HU"/>
              </w:rPr>
            </w:pPr>
            <w:r w:rsidRPr="00472DA5">
              <w:rPr>
                <w:rFonts w:ascii="Century Gothic" w:eastAsia="Times New Roman" w:hAnsi="Century Gothic" w:cs="Times New Roman"/>
                <w:lang w:eastAsia="hu-HU"/>
              </w:rPr>
              <w:t>31.187,4 Ft/adótárgy</w:t>
            </w:r>
          </w:p>
        </w:tc>
      </w:tr>
      <w:tr w:rsidR="00FD3BEF" w:rsidRPr="00472DA5" w:rsidTr="00FD3BEF">
        <w:tc>
          <w:tcPr>
            <w:tcW w:w="5665" w:type="dxa"/>
          </w:tcPr>
          <w:p w:rsidR="00FD3BEF" w:rsidRPr="00472DA5" w:rsidRDefault="00FD3BEF" w:rsidP="00E93423">
            <w:pPr>
              <w:spacing w:before="100" w:beforeAutospacing="1" w:after="100" w:afterAutospacing="1"/>
              <w:rPr>
                <w:rFonts w:ascii="Century Gothic" w:eastAsia="Times New Roman" w:hAnsi="Century Gothic" w:cs="Times New Roman"/>
                <w:lang w:eastAsia="hu-HU"/>
              </w:rPr>
            </w:pPr>
            <w:r w:rsidRPr="00472DA5">
              <w:rPr>
                <w:rFonts w:ascii="Century Gothic" w:eastAsia="Times New Roman" w:hAnsi="Century Gothic" w:cs="Times New Roman"/>
                <w:lang w:eastAsia="hu-HU"/>
              </w:rPr>
              <w:t>Idegenforgalmi adó</w:t>
            </w:r>
          </w:p>
        </w:tc>
        <w:tc>
          <w:tcPr>
            <w:tcW w:w="3397" w:type="dxa"/>
          </w:tcPr>
          <w:p w:rsidR="00FD3BEF" w:rsidRPr="00472DA5" w:rsidRDefault="00FD3BEF" w:rsidP="00FD3BEF">
            <w:pPr>
              <w:spacing w:before="100" w:beforeAutospacing="1" w:after="100" w:afterAutospacing="1"/>
              <w:jc w:val="right"/>
              <w:rPr>
                <w:rFonts w:ascii="Century Gothic" w:eastAsia="Times New Roman" w:hAnsi="Century Gothic" w:cs="Times New Roman"/>
                <w:lang w:eastAsia="hu-HU"/>
              </w:rPr>
            </w:pPr>
            <w:r w:rsidRPr="00472DA5">
              <w:rPr>
                <w:rFonts w:ascii="Century Gothic" w:eastAsia="Times New Roman" w:hAnsi="Century Gothic" w:cs="Times New Roman"/>
                <w:lang w:eastAsia="hu-HU"/>
              </w:rPr>
              <w:t>550,3 Ft/fő/vendégéjszaka</w:t>
            </w:r>
          </w:p>
        </w:tc>
      </w:tr>
    </w:tbl>
    <w:p w:rsidR="006639FA" w:rsidRPr="00910B50" w:rsidRDefault="00910B50" w:rsidP="00E93423">
      <w:pPr>
        <w:spacing w:before="100" w:beforeAutospacing="1" w:after="100" w:afterAutospacing="1" w:line="240" w:lineRule="auto"/>
        <w:rPr>
          <w:rFonts w:ascii="Century Gothic" w:eastAsia="Times New Roman" w:hAnsi="Century Gothic" w:cs="Times New Roman"/>
          <w:b/>
          <w:lang w:eastAsia="hu-HU"/>
        </w:rPr>
      </w:pPr>
      <w:r w:rsidRPr="00910B50">
        <w:rPr>
          <w:rFonts w:ascii="Century Gothic" w:eastAsia="Times New Roman" w:hAnsi="Century Gothic" w:cs="Times New Roman"/>
          <w:b/>
          <w:lang w:eastAsia="hu-HU"/>
        </w:rPr>
        <w:t xml:space="preserve">Tisztelt </w:t>
      </w:r>
      <w:r w:rsidR="0058100A">
        <w:rPr>
          <w:rFonts w:ascii="Century Gothic" w:eastAsia="Times New Roman" w:hAnsi="Century Gothic" w:cs="Times New Roman"/>
          <w:b/>
          <w:lang w:eastAsia="hu-HU"/>
        </w:rPr>
        <w:t xml:space="preserve"> Bizottság!</w:t>
      </w:r>
    </w:p>
    <w:p w:rsidR="00910B50" w:rsidRPr="00910B50" w:rsidRDefault="00910B50" w:rsidP="00472DA5">
      <w:pPr>
        <w:pStyle w:val="NormlWeb"/>
        <w:jc w:val="both"/>
        <w:rPr>
          <w:rFonts w:ascii="Century Gothic" w:hAnsi="Century Gothic"/>
          <w:sz w:val="22"/>
          <w:szCs w:val="22"/>
        </w:rPr>
      </w:pPr>
      <w:r w:rsidRPr="00910B50">
        <w:rPr>
          <w:rFonts w:ascii="Century Gothic" w:hAnsi="Century Gothic"/>
          <w:sz w:val="22"/>
          <w:szCs w:val="22"/>
        </w:rPr>
        <w:t>A Kúria számos esetben döntött helyi építmény- és telekadó-rendeletek törvényességéről ország településeinek önkormányzatait érintően. Az e döntésekben kifejtett jogértelmezések hasznos támpon</w:t>
      </w:r>
      <w:r w:rsidRPr="00910B50">
        <w:rPr>
          <w:rFonts w:ascii="Century Gothic" w:hAnsi="Century Gothic"/>
          <w:sz w:val="22"/>
          <w:szCs w:val="22"/>
        </w:rPr>
        <w:softHyphen/>
        <w:t>tokat nyújtanak a vagyoni típusú adók mértékének jogszerű, azaz többek között:</w:t>
      </w:r>
    </w:p>
    <w:p w:rsidR="00910B50" w:rsidRPr="00910B50" w:rsidRDefault="00910B50" w:rsidP="00910B50">
      <w:pPr>
        <w:numPr>
          <w:ilvl w:val="0"/>
          <w:numId w:val="3"/>
        </w:numPr>
        <w:spacing w:before="100" w:beforeAutospacing="1" w:after="100" w:afterAutospacing="1" w:line="240" w:lineRule="auto"/>
        <w:rPr>
          <w:rFonts w:ascii="Century Gothic" w:hAnsi="Century Gothic"/>
        </w:rPr>
      </w:pPr>
      <w:r w:rsidRPr="00910B50">
        <w:rPr>
          <w:rFonts w:ascii="Century Gothic" w:hAnsi="Century Gothic"/>
        </w:rPr>
        <w:t xml:space="preserve">megfelelően differenciált </w:t>
      </w:r>
      <w:r w:rsidRPr="00910B50">
        <w:rPr>
          <w:rStyle w:val="Kiemels"/>
          <w:rFonts w:ascii="Century Gothic" w:hAnsi="Century Gothic"/>
        </w:rPr>
        <w:t>[Htv. § d) és 7. § g) pont],</w:t>
      </w:r>
    </w:p>
    <w:p w:rsidR="00910B50" w:rsidRPr="00910B50" w:rsidRDefault="00910B50" w:rsidP="00910B50">
      <w:pPr>
        <w:numPr>
          <w:ilvl w:val="0"/>
          <w:numId w:val="3"/>
        </w:numPr>
        <w:spacing w:before="100" w:beforeAutospacing="1" w:after="100" w:afterAutospacing="1" w:line="240" w:lineRule="auto"/>
        <w:rPr>
          <w:rFonts w:ascii="Century Gothic" w:hAnsi="Century Gothic"/>
        </w:rPr>
      </w:pPr>
      <w:r w:rsidRPr="00910B50">
        <w:rPr>
          <w:rFonts w:ascii="Century Gothic" w:hAnsi="Century Gothic"/>
        </w:rPr>
        <w:t xml:space="preserve">de mégsem diszkriminatív </w:t>
      </w:r>
      <w:r w:rsidRPr="00910B50">
        <w:rPr>
          <w:rStyle w:val="Kiemels"/>
          <w:rFonts w:ascii="Century Gothic" w:hAnsi="Century Gothic"/>
        </w:rPr>
        <w:t xml:space="preserve">[Ebktv. </w:t>
      </w:r>
      <w:bookmarkStart w:id="0" w:name="_ftnref2"/>
      <w:bookmarkEnd w:id="0"/>
      <w:r w:rsidRPr="00910B50">
        <w:rPr>
          <w:rStyle w:val="Kiemels"/>
          <w:rFonts w:ascii="Century Gothic" w:hAnsi="Century Gothic"/>
        </w:rPr>
        <w:t>§ és 7. § e) pont],</w:t>
      </w:r>
    </w:p>
    <w:p w:rsidR="00910B50" w:rsidRPr="00910B50" w:rsidRDefault="00910B50" w:rsidP="00910B50">
      <w:pPr>
        <w:numPr>
          <w:ilvl w:val="0"/>
          <w:numId w:val="3"/>
        </w:numPr>
        <w:spacing w:before="100" w:beforeAutospacing="1" w:after="100" w:afterAutospacing="1" w:line="240" w:lineRule="auto"/>
        <w:rPr>
          <w:rFonts w:ascii="Century Gothic" w:hAnsi="Century Gothic"/>
        </w:rPr>
      </w:pPr>
      <w:r w:rsidRPr="00910B50">
        <w:rPr>
          <w:rFonts w:ascii="Century Gothic" w:hAnsi="Century Gothic"/>
        </w:rPr>
        <w:t xml:space="preserve">túlzásoktól mentes </w:t>
      </w:r>
      <w:r w:rsidRPr="00910B50">
        <w:rPr>
          <w:rStyle w:val="Kiemels"/>
          <w:rFonts w:ascii="Century Gothic" w:hAnsi="Century Gothic"/>
        </w:rPr>
        <w:t>[Htv. 6. § c) és 7. § c) és g) pont],</w:t>
      </w:r>
    </w:p>
    <w:p w:rsidR="00910B50" w:rsidRPr="00910B50" w:rsidRDefault="00910B50" w:rsidP="00910B50">
      <w:pPr>
        <w:numPr>
          <w:ilvl w:val="0"/>
          <w:numId w:val="3"/>
        </w:numPr>
        <w:spacing w:before="100" w:beforeAutospacing="1" w:after="100" w:afterAutospacing="1" w:line="240" w:lineRule="auto"/>
        <w:rPr>
          <w:rFonts w:ascii="Century Gothic" w:hAnsi="Century Gothic"/>
        </w:rPr>
      </w:pPr>
      <w:r w:rsidRPr="00910B50">
        <w:rPr>
          <w:rFonts w:ascii="Century Gothic" w:hAnsi="Century Gothic"/>
        </w:rPr>
        <w:t xml:space="preserve">a lakás-adókedvezmények törvényi szempontjait figyelembe vevő </w:t>
      </w:r>
      <w:r w:rsidRPr="00910B50">
        <w:rPr>
          <w:rStyle w:val="Kiemels"/>
          <w:rFonts w:ascii="Century Gothic" w:hAnsi="Century Gothic"/>
        </w:rPr>
        <w:t>[Htv. 6. § d) pont]</w:t>
      </w:r>
    </w:p>
    <w:p w:rsidR="00910B50" w:rsidRPr="00910B50" w:rsidRDefault="00910B50" w:rsidP="00910B50">
      <w:pPr>
        <w:numPr>
          <w:ilvl w:val="0"/>
          <w:numId w:val="3"/>
        </w:numPr>
        <w:spacing w:before="100" w:beforeAutospacing="1" w:after="100" w:afterAutospacing="1" w:line="240" w:lineRule="auto"/>
        <w:rPr>
          <w:rFonts w:ascii="Century Gothic" w:hAnsi="Century Gothic"/>
        </w:rPr>
      </w:pPr>
      <w:r w:rsidRPr="00910B50">
        <w:rPr>
          <w:rFonts w:ascii="Century Gothic" w:hAnsi="Century Gothic"/>
        </w:rPr>
        <w:lastRenderedPageBreak/>
        <w:t xml:space="preserve">és az adótárgyak törvényi meghatározásához pontosan igazodó </w:t>
      </w:r>
      <w:r w:rsidRPr="00910B50">
        <w:rPr>
          <w:rStyle w:val="Kiemels"/>
          <w:rFonts w:ascii="Century Gothic" w:hAnsi="Century Gothic"/>
        </w:rPr>
        <w:t>[Htv. 1. §, 7. § a) pont, 11. § (1) bek. és 17. §]</w:t>
      </w:r>
    </w:p>
    <w:p w:rsidR="00910B50" w:rsidRPr="00910B50" w:rsidRDefault="00910B50" w:rsidP="00910B50">
      <w:pPr>
        <w:pStyle w:val="NormlWeb"/>
        <w:rPr>
          <w:rFonts w:ascii="Century Gothic" w:hAnsi="Century Gothic"/>
          <w:sz w:val="22"/>
          <w:szCs w:val="22"/>
        </w:rPr>
      </w:pPr>
      <w:r w:rsidRPr="00910B50">
        <w:rPr>
          <w:rFonts w:ascii="Century Gothic" w:hAnsi="Century Gothic"/>
          <w:sz w:val="22"/>
          <w:szCs w:val="22"/>
        </w:rPr>
        <w:t>helyi szabályozásához.</w:t>
      </w:r>
    </w:p>
    <w:p w:rsidR="00910B50" w:rsidRPr="00910B50" w:rsidRDefault="00910B50" w:rsidP="00910B50">
      <w:pPr>
        <w:pStyle w:val="Cmsor2"/>
        <w:rPr>
          <w:rFonts w:ascii="Century Gothic" w:hAnsi="Century Gothic"/>
          <w:b/>
          <w:color w:val="auto"/>
          <w:sz w:val="22"/>
          <w:szCs w:val="22"/>
        </w:rPr>
      </w:pPr>
      <w:r w:rsidRPr="00910B50">
        <w:rPr>
          <w:rStyle w:val="zold-szamozas"/>
          <w:rFonts w:ascii="Century Gothic" w:hAnsi="Century Gothic"/>
          <w:b/>
          <w:color w:val="auto"/>
          <w:sz w:val="22"/>
          <w:szCs w:val="22"/>
        </w:rPr>
        <w:t>1.</w:t>
      </w:r>
      <w:r w:rsidRPr="00910B50">
        <w:rPr>
          <w:rFonts w:ascii="Century Gothic" w:hAnsi="Century Gothic"/>
          <w:b/>
          <w:color w:val="auto"/>
          <w:sz w:val="22"/>
          <w:szCs w:val="22"/>
        </w:rPr>
        <w:t xml:space="preserve"> Differenciálás követelménye</w:t>
      </w:r>
    </w:p>
    <w:p w:rsidR="00910B50" w:rsidRPr="00910B50" w:rsidRDefault="00910B50" w:rsidP="00910B50">
      <w:pPr>
        <w:pStyle w:val="NormlWeb"/>
        <w:rPr>
          <w:rFonts w:ascii="Century Gothic" w:hAnsi="Century Gothic"/>
          <w:sz w:val="22"/>
          <w:szCs w:val="22"/>
        </w:rPr>
      </w:pPr>
      <w:r w:rsidRPr="00910B50">
        <w:rPr>
          <w:rFonts w:ascii="Century Gothic" w:hAnsi="Century Gothic"/>
          <w:sz w:val="22"/>
          <w:szCs w:val="22"/>
        </w:rPr>
        <w:t xml:space="preserve">A Htv. 7. § </w:t>
      </w:r>
      <w:r w:rsidRPr="00910B50">
        <w:rPr>
          <w:rStyle w:val="Kiemels"/>
          <w:rFonts w:ascii="Century Gothic" w:hAnsi="Century Gothic"/>
          <w:sz w:val="22"/>
          <w:szCs w:val="22"/>
        </w:rPr>
        <w:t>g)</w:t>
      </w:r>
      <w:r w:rsidRPr="00910B50">
        <w:rPr>
          <w:rFonts w:ascii="Century Gothic" w:hAnsi="Century Gothic"/>
          <w:sz w:val="22"/>
          <w:szCs w:val="22"/>
        </w:rPr>
        <w:t xml:space="preserve"> pontja alapján </w:t>
      </w:r>
      <w:r w:rsidRPr="00910B50">
        <w:rPr>
          <w:rStyle w:val="Kiemels"/>
          <w:rFonts w:ascii="Century Gothic" w:hAnsi="Century Gothic"/>
          <w:sz w:val="22"/>
          <w:szCs w:val="22"/>
        </w:rPr>
        <w:t>„az önkormányzat adómegállapítási jogát korlátozza az, hogy: […]</w:t>
      </w:r>
    </w:p>
    <w:p w:rsidR="00910B50" w:rsidRPr="00910B50" w:rsidRDefault="00910B50" w:rsidP="00910B50">
      <w:pPr>
        <w:pStyle w:val="NormlWeb"/>
        <w:jc w:val="both"/>
        <w:rPr>
          <w:rFonts w:ascii="Century Gothic" w:hAnsi="Century Gothic"/>
          <w:sz w:val="22"/>
          <w:szCs w:val="22"/>
        </w:rPr>
      </w:pPr>
      <w:r w:rsidRPr="00910B50">
        <w:rPr>
          <w:rStyle w:val="Kiemels"/>
          <w:rFonts w:ascii="Century Gothic" w:hAnsi="Century Gothic"/>
          <w:sz w:val="22"/>
          <w:szCs w:val="22"/>
        </w:rPr>
        <w:t>g) az adóalap fajtáját, az adó mértékét, a rendeleti adómentességet és adókedvezményt úgy állapíthatja meg, hogy azok összességükben egyaránt megfeleljenek a helyi sajátosságoknak, az önkormányzat gazdálkodási követelményeinek és az adóalanyok széles körét érintően az adóalanyok teherviselő képességének, […]”</w:t>
      </w:r>
    </w:p>
    <w:p w:rsidR="00910B50" w:rsidRPr="00910B50" w:rsidRDefault="00910B50" w:rsidP="00472DA5">
      <w:pPr>
        <w:pStyle w:val="NormlWeb"/>
        <w:rPr>
          <w:rFonts w:ascii="Century Gothic" w:hAnsi="Century Gothic"/>
          <w:sz w:val="22"/>
          <w:szCs w:val="22"/>
        </w:rPr>
      </w:pPr>
      <w:r w:rsidRPr="00910B50">
        <w:rPr>
          <w:rStyle w:val="Kiemels2"/>
          <w:rFonts w:ascii="Century Gothic" w:hAnsi="Century Gothic"/>
          <w:sz w:val="22"/>
          <w:szCs w:val="22"/>
        </w:rPr>
        <w:t>A képviselő-testületnek lehetősége és kötelessége is az adómértéket differenciálni</w:t>
      </w:r>
      <w:r w:rsidRPr="00910B50">
        <w:rPr>
          <w:rFonts w:ascii="Century Gothic" w:hAnsi="Century Gothic"/>
          <w:sz w:val="22"/>
          <w:szCs w:val="22"/>
        </w:rPr>
        <w:t xml:space="preserve"> a különböző építmények között, ha ezt a különbségtételt</w:t>
      </w:r>
    </w:p>
    <w:p w:rsidR="00910B50" w:rsidRPr="00910B50" w:rsidRDefault="00910B50" w:rsidP="00472DA5">
      <w:pPr>
        <w:numPr>
          <w:ilvl w:val="0"/>
          <w:numId w:val="4"/>
        </w:numPr>
        <w:spacing w:before="100" w:beforeAutospacing="1" w:after="100" w:afterAutospacing="1" w:line="240" w:lineRule="auto"/>
        <w:ind w:left="0"/>
        <w:rPr>
          <w:rFonts w:ascii="Century Gothic" w:hAnsi="Century Gothic"/>
        </w:rPr>
      </w:pPr>
      <w:r w:rsidRPr="00910B50">
        <w:rPr>
          <w:rFonts w:ascii="Century Gothic" w:hAnsi="Century Gothic"/>
        </w:rPr>
        <w:t>a települési sajátosságok,</w:t>
      </w:r>
    </w:p>
    <w:p w:rsidR="00910B50" w:rsidRPr="00910B50" w:rsidRDefault="00910B50" w:rsidP="00472DA5">
      <w:pPr>
        <w:numPr>
          <w:ilvl w:val="0"/>
          <w:numId w:val="4"/>
        </w:numPr>
        <w:spacing w:before="100" w:beforeAutospacing="1" w:after="100" w:afterAutospacing="1" w:line="240" w:lineRule="auto"/>
        <w:ind w:left="0"/>
        <w:rPr>
          <w:rFonts w:ascii="Century Gothic" w:hAnsi="Century Gothic"/>
        </w:rPr>
      </w:pPr>
      <w:r w:rsidRPr="00910B50">
        <w:rPr>
          <w:rFonts w:ascii="Century Gothic" w:hAnsi="Century Gothic"/>
        </w:rPr>
        <w:t>az adózók teherviselő-képessége,</w:t>
      </w:r>
    </w:p>
    <w:p w:rsidR="00910B50" w:rsidRPr="00910B50" w:rsidRDefault="00910B50" w:rsidP="00472DA5">
      <w:pPr>
        <w:numPr>
          <w:ilvl w:val="0"/>
          <w:numId w:val="4"/>
        </w:numPr>
        <w:spacing w:before="100" w:beforeAutospacing="1" w:after="100" w:afterAutospacing="1" w:line="240" w:lineRule="auto"/>
        <w:ind w:left="0"/>
        <w:rPr>
          <w:rFonts w:ascii="Century Gothic" w:hAnsi="Century Gothic"/>
        </w:rPr>
      </w:pPr>
      <w:r w:rsidRPr="00910B50">
        <w:rPr>
          <w:rFonts w:ascii="Century Gothic" w:hAnsi="Century Gothic"/>
        </w:rPr>
        <w:t>az építmények rendeltetése és földrajzi elhelyezkedése,</w:t>
      </w:r>
    </w:p>
    <w:p w:rsidR="00910B50" w:rsidRPr="00472DA5" w:rsidRDefault="00910B50" w:rsidP="00472DA5">
      <w:pPr>
        <w:numPr>
          <w:ilvl w:val="0"/>
          <w:numId w:val="4"/>
        </w:numPr>
        <w:spacing w:before="100" w:beforeAutospacing="1" w:after="100" w:afterAutospacing="1" w:line="240" w:lineRule="auto"/>
        <w:ind w:left="0"/>
        <w:rPr>
          <w:rFonts w:ascii="Century Gothic" w:hAnsi="Century Gothic"/>
        </w:rPr>
      </w:pPr>
      <w:r w:rsidRPr="00910B50">
        <w:rPr>
          <w:rFonts w:ascii="Century Gothic" w:hAnsi="Century Gothic"/>
        </w:rPr>
        <w:t>az építmények értékében a településen belül jelentkező eltérések</w:t>
      </w:r>
      <w:r w:rsidRPr="00472DA5">
        <w:rPr>
          <w:rFonts w:ascii="Century Gothic" w:hAnsi="Century Gothic"/>
        </w:rPr>
        <w:t>szükségessé teszik.</w:t>
      </w:r>
    </w:p>
    <w:p w:rsidR="00910B50" w:rsidRPr="00910B50" w:rsidRDefault="00910B50" w:rsidP="00910B50">
      <w:pPr>
        <w:pStyle w:val="NormlWeb"/>
        <w:rPr>
          <w:rFonts w:ascii="Century Gothic" w:hAnsi="Century Gothic"/>
          <w:sz w:val="22"/>
          <w:szCs w:val="22"/>
        </w:rPr>
      </w:pPr>
      <w:r w:rsidRPr="00910B50">
        <w:rPr>
          <w:rStyle w:val="Kiemels2"/>
          <w:rFonts w:ascii="Century Gothic" w:hAnsi="Century Gothic"/>
          <w:sz w:val="22"/>
          <w:szCs w:val="22"/>
        </w:rPr>
        <w:t>Az adómérték differenciálásának elmaradása miatt 2018-ban több önkormányzati rendelet esetében is megsemmisítésre került sor, például:</w:t>
      </w:r>
    </w:p>
    <w:p w:rsidR="00910B50" w:rsidRPr="00910B50" w:rsidRDefault="00910B50" w:rsidP="00910B50">
      <w:pPr>
        <w:numPr>
          <w:ilvl w:val="0"/>
          <w:numId w:val="5"/>
        </w:numPr>
        <w:spacing w:before="100" w:beforeAutospacing="1" w:after="100" w:afterAutospacing="1" w:line="240" w:lineRule="auto"/>
        <w:jc w:val="both"/>
        <w:rPr>
          <w:rFonts w:ascii="Century Gothic" w:hAnsi="Century Gothic"/>
        </w:rPr>
      </w:pPr>
      <w:r w:rsidRPr="00910B50">
        <w:rPr>
          <w:rFonts w:ascii="Century Gothic" w:hAnsi="Century Gothic"/>
        </w:rPr>
        <w:t xml:space="preserve">„A helyi önkormányzatoknak a telekadó mértékének meghatározása során tekintettel kell lenni a telkek – közművesítettségében, közúton történő megközelíthetőségében rejlő – értékére is.” </w:t>
      </w:r>
      <w:r w:rsidRPr="00910B50">
        <w:rPr>
          <w:rStyle w:val="Kiemels"/>
          <w:rFonts w:ascii="Century Gothic" w:hAnsi="Century Gothic"/>
        </w:rPr>
        <w:t>(Köf.5.021/2016/3. számú határozat [12] pont)</w:t>
      </w:r>
    </w:p>
    <w:p w:rsidR="00910B50" w:rsidRPr="00910B50" w:rsidRDefault="00910B50" w:rsidP="00910B50">
      <w:pPr>
        <w:numPr>
          <w:ilvl w:val="0"/>
          <w:numId w:val="5"/>
        </w:numPr>
        <w:spacing w:before="100" w:beforeAutospacing="1" w:after="100" w:afterAutospacing="1" w:line="240" w:lineRule="auto"/>
        <w:jc w:val="both"/>
        <w:rPr>
          <w:rFonts w:ascii="Century Gothic" w:hAnsi="Century Gothic"/>
        </w:rPr>
      </w:pPr>
      <w:r w:rsidRPr="00910B50">
        <w:rPr>
          <w:rFonts w:ascii="Century Gothic" w:hAnsi="Century Gothic"/>
        </w:rPr>
        <w:t xml:space="preserve">„Az eltérő adottságokkal rendelkező telkek vonatkozásában a forgalmi értékbeli eltéréshez igazodó, helyi sajátosságokat tükröző telekadó mérték felel meg differenciált adómegállapítás követelményének.” </w:t>
      </w:r>
      <w:r w:rsidRPr="00910B50">
        <w:rPr>
          <w:rStyle w:val="Kiemels"/>
          <w:rFonts w:ascii="Century Gothic" w:hAnsi="Century Gothic"/>
        </w:rPr>
        <w:t>(Köf.5.019/2018/4. számú határozat [50] pont)</w:t>
      </w:r>
    </w:p>
    <w:p w:rsidR="00910B50" w:rsidRPr="00910B50" w:rsidRDefault="00910B50" w:rsidP="00910B50">
      <w:pPr>
        <w:numPr>
          <w:ilvl w:val="0"/>
          <w:numId w:val="5"/>
        </w:numPr>
        <w:spacing w:before="100" w:beforeAutospacing="1" w:after="100" w:afterAutospacing="1" w:line="240" w:lineRule="auto"/>
        <w:jc w:val="both"/>
        <w:rPr>
          <w:rFonts w:ascii="Century Gothic" w:hAnsi="Century Gothic"/>
        </w:rPr>
      </w:pPr>
      <w:r w:rsidRPr="00910B50">
        <w:rPr>
          <w:rFonts w:ascii="Century Gothic" w:hAnsi="Century Gothic"/>
        </w:rPr>
        <w:t xml:space="preserve">„Az eltérő adottságokkal rendelkező telkek vonatkozásában a forgalmi értékbeli eltéréshez igazodó, helyi sajátosságokat tükröző telekadó mérték felel meg differenciált adómegállapítás követelményének.” </w:t>
      </w:r>
      <w:r w:rsidRPr="00910B50">
        <w:rPr>
          <w:rStyle w:val="Kiemels"/>
          <w:rFonts w:ascii="Century Gothic" w:hAnsi="Century Gothic"/>
        </w:rPr>
        <w:t>(Köf.5.019/2018/4. számú határozat [50] pont)</w:t>
      </w:r>
    </w:p>
    <w:p w:rsidR="00910B50" w:rsidRPr="00910B50" w:rsidRDefault="00910B50" w:rsidP="00910B50">
      <w:pPr>
        <w:numPr>
          <w:ilvl w:val="0"/>
          <w:numId w:val="5"/>
        </w:numPr>
        <w:spacing w:before="100" w:beforeAutospacing="1" w:after="100" w:afterAutospacing="1" w:line="240" w:lineRule="auto"/>
        <w:jc w:val="both"/>
        <w:rPr>
          <w:rFonts w:ascii="Century Gothic" w:hAnsi="Century Gothic"/>
        </w:rPr>
      </w:pPr>
      <w:r w:rsidRPr="00910B50">
        <w:rPr>
          <w:rFonts w:ascii="Century Gothic" w:hAnsi="Century Gothic"/>
        </w:rPr>
        <w:t xml:space="preserve">„A Helyi adó tv. 6. § c) pontja alapján az adózók teherbíró képességére, a helyi sajátosságokra és az önkormányzat gazdálkodási követelményeire is figyelemmel kell lenni. Ezért az önkormányzatnak értékelnie kell az illetékességi területe alá tartozó telkek rendeltetését, azok földrajzi elhelyezkedését, a településre jellemző forgalmi értékeket általában és a településen belüli forgalmi értékekben jelentkező eltéréseket is. […] A hasonló helyzetben lévő – homogén csoportba tartozó – adózókat egyenlően terhelő adó nem minősíthető az adózó tevékenységét közvetetten és nem a közteherviselés révén befolyásoló gazdasági szabályozó eszköznek.” </w:t>
      </w:r>
      <w:r w:rsidRPr="00910B50">
        <w:rPr>
          <w:rStyle w:val="Kiemels"/>
          <w:rFonts w:ascii="Century Gothic" w:hAnsi="Century Gothic"/>
        </w:rPr>
        <w:t>(Köf.5.008/2016/4. számú határozat [29]–[30] pont)</w:t>
      </w:r>
    </w:p>
    <w:p w:rsidR="00910B50" w:rsidRPr="00910B50" w:rsidRDefault="00910B50" w:rsidP="00910B50">
      <w:pPr>
        <w:pStyle w:val="NormlWeb"/>
        <w:jc w:val="both"/>
        <w:rPr>
          <w:rFonts w:ascii="Century Gothic" w:hAnsi="Century Gothic"/>
          <w:sz w:val="22"/>
          <w:szCs w:val="22"/>
        </w:rPr>
      </w:pPr>
      <w:r w:rsidRPr="00910B50">
        <w:rPr>
          <w:rStyle w:val="Kiemels2"/>
          <w:rFonts w:ascii="Century Gothic" w:hAnsi="Century Gothic"/>
          <w:sz w:val="22"/>
          <w:szCs w:val="22"/>
        </w:rPr>
        <w:lastRenderedPageBreak/>
        <w:t>Ugyanakkor ahhoz is tarja magát a Kúria, hogy a differenciálás csak olyankor és csak akkora mértékben kötelező, amennyiben tényleg indokolt.</w:t>
      </w:r>
      <w:r w:rsidRPr="00910B50">
        <w:rPr>
          <w:rFonts w:ascii="Century Gothic" w:hAnsi="Century Gothic"/>
          <w:sz w:val="22"/>
          <w:szCs w:val="22"/>
        </w:rPr>
        <w:t xml:space="preserve"> Ha pl. az egyes településrészek átlagos ingatlan-négyzetméterára között nincs jelentős eltérés (jellemzően kistelepülések esetén), nem kötelező adómérték-körzeteket kialakítani:</w:t>
      </w:r>
    </w:p>
    <w:p w:rsidR="00910B50" w:rsidRPr="00910B50" w:rsidRDefault="00910B50" w:rsidP="00910B50">
      <w:pPr>
        <w:numPr>
          <w:ilvl w:val="0"/>
          <w:numId w:val="6"/>
        </w:numPr>
        <w:spacing w:before="100" w:beforeAutospacing="1" w:after="100" w:afterAutospacing="1" w:line="240" w:lineRule="auto"/>
        <w:jc w:val="both"/>
        <w:rPr>
          <w:rFonts w:ascii="Century Gothic" w:hAnsi="Century Gothic"/>
        </w:rPr>
      </w:pPr>
      <w:r w:rsidRPr="00910B50">
        <w:rPr>
          <w:rFonts w:ascii="Century Gothic" w:hAnsi="Century Gothic"/>
        </w:rPr>
        <w:t>„[…] differenciált mértékű (övezetek szerinti) telekadó akkor lett volna indokolt, ha belterületen, a […] területen lévő ingatlanok és a nagyközség területén fekvő – eltérő tulajdonságokkal rendelkező – építési telkek átlagos forgalmi értéke között jelentős eltérés lenne kimutatható. Az átlagos forgalmi értékre vonatkozóan a bírósági szakértő (16.452Ft/m</w:t>
      </w:r>
      <w:r w:rsidRPr="00910B50">
        <w:rPr>
          <w:rFonts w:ascii="Century Gothic" w:hAnsi="Century Gothic"/>
          <w:vertAlign w:val="superscript"/>
        </w:rPr>
        <w:t>2</w:t>
      </w:r>
      <w:r w:rsidRPr="00910B50">
        <w:rPr>
          <w:rFonts w:ascii="Century Gothic" w:hAnsi="Century Gothic"/>
        </w:rPr>
        <w:t>), az önkormányzat által megbízott szakértők szakvéleménye (18.840 Ft/m</w:t>
      </w:r>
      <w:r w:rsidRPr="00910B50">
        <w:rPr>
          <w:rFonts w:ascii="Century Gothic" w:hAnsi="Century Gothic"/>
          <w:vertAlign w:val="superscript"/>
        </w:rPr>
        <w:t>2</w:t>
      </w:r>
      <w:r w:rsidRPr="00910B50">
        <w:rPr>
          <w:rFonts w:ascii="Century Gothic" w:hAnsi="Century Gothic"/>
        </w:rPr>
        <w:t>, illetve 20.119 Ft/m</w:t>
      </w:r>
      <w:r w:rsidRPr="00910B50">
        <w:rPr>
          <w:rFonts w:ascii="Century Gothic" w:hAnsi="Century Gothic"/>
          <w:vertAlign w:val="superscript"/>
        </w:rPr>
        <w:t>2</w:t>
      </w:r>
      <w:r w:rsidRPr="00910B50">
        <w:rPr>
          <w:rFonts w:ascii="Century Gothic" w:hAnsi="Century Gothic"/>
        </w:rPr>
        <w:t>) azonban nem mutat jelentős eltérést a bíróság által elfogadott szakvéleményben rögzített […] Nagyközség átlagos telekáraitól (21.007 Ft/m</w:t>
      </w:r>
      <w:r w:rsidRPr="00910B50">
        <w:rPr>
          <w:rFonts w:ascii="Century Gothic" w:hAnsi="Century Gothic"/>
          <w:vertAlign w:val="superscript"/>
        </w:rPr>
        <w:t>2</w:t>
      </w:r>
      <w:r w:rsidRPr="00910B50">
        <w:rPr>
          <w:rFonts w:ascii="Century Gothic" w:hAnsi="Century Gothic"/>
        </w:rPr>
        <w:t xml:space="preserve">). Erre tekintettel a Kúria Önkormányzati Tanácsa megállapította, hogy nem indokolt a belterületi telkekre vonatkozó differenciált mértékű telekadó kivetése.” </w:t>
      </w:r>
      <w:r w:rsidRPr="00910B50">
        <w:rPr>
          <w:rStyle w:val="Kiemels"/>
          <w:rFonts w:ascii="Century Gothic" w:hAnsi="Century Gothic"/>
        </w:rPr>
        <w:t>(Köf.5.021/2018/4. számú határozat [33] pont)</w:t>
      </w:r>
    </w:p>
    <w:p w:rsidR="00910B50" w:rsidRPr="00910B50" w:rsidRDefault="00910B50" w:rsidP="00910B50">
      <w:pPr>
        <w:numPr>
          <w:ilvl w:val="0"/>
          <w:numId w:val="6"/>
        </w:numPr>
        <w:spacing w:before="100" w:beforeAutospacing="1" w:after="100" w:afterAutospacing="1" w:line="240" w:lineRule="auto"/>
        <w:jc w:val="both"/>
        <w:rPr>
          <w:rFonts w:ascii="Century Gothic" w:hAnsi="Century Gothic"/>
        </w:rPr>
      </w:pPr>
      <w:r w:rsidRPr="00910B50">
        <w:rPr>
          <w:rFonts w:ascii="Century Gothic" w:hAnsi="Century Gothic"/>
        </w:rPr>
        <w:t xml:space="preserve">„Nem sérti a telekadó mértékére vonatkozó törvényi szabályokat az az adómérték, amely az adómaximum alatt úgy került meghatározásra, hogy kellően differenciál a rendelet hatálya alá tartozó adóalanyok és a telkek sajátosságait is figyelembe véve.” </w:t>
      </w:r>
      <w:r w:rsidRPr="00910B50">
        <w:rPr>
          <w:rStyle w:val="Kiemels"/>
          <w:rFonts w:ascii="Century Gothic" w:hAnsi="Century Gothic"/>
        </w:rPr>
        <w:t>(Köf.5.013/2017/4. számú határozat [24] pont, valamint Köf.5.021/2017/4. számú határozat [31] pont)</w:t>
      </w:r>
    </w:p>
    <w:p w:rsidR="00910B50" w:rsidRPr="00910B50" w:rsidRDefault="00910B50" w:rsidP="00910B50">
      <w:pPr>
        <w:pStyle w:val="Cmsor2"/>
        <w:rPr>
          <w:rFonts w:ascii="Century Gothic" w:hAnsi="Century Gothic"/>
          <w:b/>
          <w:color w:val="auto"/>
          <w:sz w:val="22"/>
          <w:szCs w:val="22"/>
        </w:rPr>
      </w:pPr>
      <w:r w:rsidRPr="00910B50">
        <w:rPr>
          <w:rStyle w:val="zold-szamozas"/>
          <w:rFonts w:ascii="Century Gothic" w:hAnsi="Century Gothic"/>
          <w:b/>
          <w:color w:val="auto"/>
          <w:sz w:val="22"/>
          <w:szCs w:val="22"/>
        </w:rPr>
        <w:t>2.</w:t>
      </w:r>
      <w:r w:rsidRPr="00910B50">
        <w:rPr>
          <w:rFonts w:ascii="Century Gothic" w:hAnsi="Century Gothic"/>
          <w:b/>
          <w:color w:val="auto"/>
          <w:sz w:val="22"/>
          <w:szCs w:val="22"/>
        </w:rPr>
        <w:t>Diszkriminatív adómérték tilalma</w:t>
      </w:r>
    </w:p>
    <w:p w:rsidR="00910B50" w:rsidRPr="00910B50" w:rsidRDefault="00910B50" w:rsidP="00910B50">
      <w:pPr>
        <w:pStyle w:val="NormlWeb"/>
        <w:jc w:val="both"/>
        <w:rPr>
          <w:rFonts w:ascii="Century Gothic" w:hAnsi="Century Gothic"/>
          <w:sz w:val="22"/>
          <w:szCs w:val="22"/>
        </w:rPr>
      </w:pPr>
      <w:r w:rsidRPr="00910B50">
        <w:rPr>
          <w:rStyle w:val="Kiemels2"/>
          <w:rFonts w:ascii="Century Gothic" w:hAnsi="Century Gothic"/>
          <w:sz w:val="22"/>
          <w:szCs w:val="22"/>
        </w:rPr>
        <w:t>A másik végletre is figyelnie kell</w:t>
      </w:r>
      <w:r w:rsidRPr="00910B50">
        <w:rPr>
          <w:rFonts w:ascii="Century Gothic" w:hAnsi="Century Gothic"/>
          <w:sz w:val="22"/>
          <w:szCs w:val="22"/>
        </w:rPr>
        <w:t xml:space="preserve"> a képviselő-testületnek az adómérték differenciálása során. A rendelet a diszkrimináció tilalmába sem ütközhet, azaz teljesítenie kell az Ebktv.-ben rögzített követelményt, mely szerint az olyan megkülönböztetés tekinthető jogszerűnek, amelyet az adott jogviszonnyal közvetlenül összefüggő, ésszerű indok alapoz meg </w:t>
      </w:r>
      <w:r w:rsidRPr="00910B50">
        <w:rPr>
          <w:rStyle w:val="Kiemels"/>
          <w:rFonts w:ascii="Century Gothic" w:hAnsi="Century Gothic"/>
          <w:sz w:val="22"/>
          <w:szCs w:val="22"/>
        </w:rPr>
        <w:t>[Ebktv. 4. § és 7. § (2) bek. b) pont].</w:t>
      </w:r>
    </w:p>
    <w:p w:rsidR="00910B50" w:rsidRPr="00910B50" w:rsidRDefault="00910B50" w:rsidP="00910B50">
      <w:pPr>
        <w:pStyle w:val="NormlWeb"/>
        <w:jc w:val="both"/>
        <w:rPr>
          <w:rFonts w:ascii="Century Gothic" w:hAnsi="Century Gothic"/>
          <w:sz w:val="22"/>
          <w:szCs w:val="22"/>
        </w:rPr>
      </w:pPr>
      <w:r w:rsidRPr="00910B50">
        <w:rPr>
          <w:rFonts w:ascii="Century Gothic" w:hAnsi="Century Gothic"/>
          <w:sz w:val="22"/>
          <w:szCs w:val="22"/>
        </w:rPr>
        <w:t>Az adómértékekben tehát olyan módon lehet különbséget tenni, hogy ez az előző pontban ismertetett szempontok alapján megalapozott legyen, ezt pedig alá is lehessen támasztani az önkormányzati rendelet indokolásában és hatástanulmányában igazolható módon.</w:t>
      </w:r>
    </w:p>
    <w:p w:rsidR="00910B50" w:rsidRPr="00910B50" w:rsidRDefault="00910B50" w:rsidP="00910B50">
      <w:pPr>
        <w:pStyle w:val="NormlWeb"/>
        <w:jc w:val="both"/>
        <w:rPr>
          <w:rFonts w:ascii="Century Gothic" w:hAnsi="Century Gothic"/>
          <w:sz w:val="22"/>
          <w:szCs w:val="22"/>
        </w:rPr>
      </w:pPr>
      <w:r w:rsidRPr="00910B50">
        <w:rPr>
          <w:rStyle w:val="Kiemels2"/>
          <w:rFonts w:ascii="Century Gothic" w:hAnsi="Century Gothic"/>
          <w:sz w:val="22"/>
          <w:szCs w:val="22"/>
        </w:rPr>
        <w:t>A hátrányos megkülönböztetés tilalmával a következő tavalyi döntések foglalkoznak:</w:t>
      </w:r>
    </w:p>
    <w:p w:rsidR="00910B50" w:rsidRPr="00910B50" w:rsidRDefault="00910B50" w:rsidP="00910B50">
      <w:pPr>
        <w:numPr>
          <w:ilvl w:val="0"/>
          <w:numId w:val="7"/>
        </w:numPr>
        <w:spacing w:before="100" w:beforeAutospacing="1" w:after="100" w:afterAutospacing="1" w:line="240" w:lineRule="auto"/>
        <w:jc w:val="both"/>
        <w:rPr>
          <w:rFonts w:ascii="Century Gothic" w:hAnsi="Century Gothic"/>
        </w:rPr>
      </w:pPr>
      <w:r w:rsidRPr="00910B50">
        <w:rPr>
          <w:rFonts w:ascii="Century Gothic" w:hAnsi="Century Gothic"/>
        </w:rPr>
        <w:t xml:space="preserve">„Közvetett hátrányos megkülönböztetés valósul meg akkor, ha a telekadó fizetésére szóló helyiadó-fizetési teher legitim adópolitikai cél nélkül – formálisan normatívan meghatározott tárgya ellenére – ténylegesen csak célzottan, egyedileg kötelezett adóalanyt érint.” </w:t>
      </w:r>
      <w:r w:rsidRPr="00910B50">
        <w:rPr>
          <w:rStyle w:val="Kiemels"/>
          <w:rFonts w:ascii="Century Gothic" w:hAnsi="Century Gothic"/>
        </w:rPr>
        <w:t>(Köf.5.010/2018/3. számú határozat [49] pont)</w:t>
      </w:r>
    </w:p>
    <w:p w:rsidR="00910B50" w:rsidRPr="00910B50" w:rsidRDefault="00910B50" w:rsidP="00910B50">
      <w:pPr>
        <w:numPr>
          <w:ilvl w:val="0"/>
          <w:numId w:val="7"/>
        </w:numPr>
        <w:spacing w:before="100" w:beforeAutospacing="1" w:after="100" w:afterAutospacing="1" w:line="240" w:lineRule="auto"/>
        <w:jc w:val="both"/>
        <w:rPr>
          <w:rFonts w:ascii="Century Gothic" w:hAnsi="Century Gothic"/>
        </w:rPr>
      </w:pPr>
      <w:r w:rsidRPr="00910B50">
        <w:rPr>
          <w:rFonts w:ascii="Century Gothic" w:hAnsi="Century Gothic"/>
        </w:rPr>
        <w:t xml:space="preserve">„Közvetett hátrányos megkülönböztetés valósul meg akkor, ha az építményadó fizetésére szóló helyiadó-fizetési teher legitim adópolitikai cél hiányában, formailag normatív meghatározás nélkül, ténylegesen egyedileg meghatározott adóalanyokra vonatkoztatva állapít meg másokénál lényegesen terhesebb kötelezettséget.” </w:t>
      </w:r>
      <w:r w:rsidRPr="00910B50">
        <w:rPr>
          <w:rStyle w:val="Kiemels"/>
          <w:rFonts w:ascii="Century Gothic" w:hAnsi="Century Gothic"/>
        </w:rPr>
        <w:t>(Köf.5.022/2018/4. számú határozat [53] pont; valamint Köf.5.025/2018/4. számú határozat [52] pont)</w:t>
      </w:r>
    </w:p>
    <w:p w:rsidR="00910B50" w:rsidRPr="00910B50" w:rsidRDefault="00910B50" w:rsidP="00910B50">
      <w:pPr>
        <w:numPr>
          <w:ilvl w:val="0"/>
          <w:numId w:val="7"/>
        </w:numPr>
        <w:spacing w:before="100" w:beforeAutospacing="1" w:after="100" w:afterAutospacing="1" w:line="240" w:lineRule="auto"/>
        <w:jc w:val="both"/>
        <w:rPr>
          <w:rFonts w:ascii="Century Gothic" w:hAnsi="Century Gothic"/>
        </w:rPr>
      </w:pPr>
      <w:r w:rsidRPr="00910B50">
        <w:rPr>
          <w:rFonts w:ascii="Century Gothic" w:hAnsi="Century Gothic"/>
        </w:rPr>
        <w:lastRenderedPageBreak/>
        <w:t>„A Kúria szerint az Ör. vitatott szabályozása nem normatív, mert adófizetési kötelezettség tekintetében az Ör. által kötelezni kívánt homogén csoportot (vagyis az építménytulajdonosokat) közteherviselési szempontból indokolhatatlanul, gyakorlatilag nevesítetten felismerhető alanyra kiterjedően, ezáltal megkülönböztetően differenciálja. […] Az a szabályozás, amelyik az ingatlantulajdonosoknak lényegében egyenként azonosítható módon való kötelezésére épül, sérti az Etv. 9. §-át. Kivételt az képezhet, ha az ilyen szabályozás alkotmányos értéken alapul, ami jelen esetben azonban nem mutatható ki. […] Különösen sérül az egyenlő elbánás azáltal, hogy az egyedileg kiválasztott adóalanyok terhelése átmenet nélkül jelentősen (800 Ft/m</w:t>
      </w:r>
      <w:r w:rsidRPr="00910B50">
        <w:rPr>
          <w:rFonts w:ascii="Century Gothic" w:hAnsi="Century Gothic"/>
          <w:vertAlign w:val="superscript"/>
        </w:rPr>
        <w:t>2</w:t>
      </w:r>
      <w:r w:rsidRPr="00910B50">
        <w:rPr>
          <w:rFonts w:ascii="Century Gothic" w:hAnsi="Century Gothic"/>
        </w:rPr>
        <w:t>-ről 1850 Ft/m</w:t>
      </w:r>
      <w:r w:rsidRPr="00910B50">
        <w:rPr>
          <w:rFonts w:ascii="Century Gothic" w:hAnsi="Century Gothic"/>
          <w:vertAlign w:val="superscript"/>
        </w:rPr>
        <w:t>2</w:t>
      </w:r>
      <w:r w:rsidRPr="00910B50">
        <w:rPr>
          <w:rFonts w:ascii="Century Gothic" w:hAnsi="Century Gothic"/>
        </w:rPr>
        <w:t xml:space="preserve">-re) változott.” </w:t>
      </w:r>
      <w:r w:rsidRPr="00910B50">
        <w:rPr>
          <w:rStyle w:val="Kiemels"/>
          <w:rFonts w:ascii="Century Gothic" w:hAnsi="Century Gothic"/>
        </w:rPr>
        <w:t>(Köf.5.022/2018/4. számú határozat [28], [30]–[31] pont)</w:t>
      </w:r>
    </w:p>
    <w:p w:rsidR="00910B50" w:rsidRPr="00910B50" w:rsidRDefault="00910B50" w:rsidP="00910B50">
      <w:pPr>
        <w:pStyle w:val="NormlWeb"/>
        <w:rPr>
          <w:rFonts w:ascii="Century Gothic" w:hAnsi="Century Gothic"/>
          <w:sz w:val="22"/>
          <w:szCs w:val="22"/>
        </w:rPr>
      </w:pPr>
      <w:r w:rsidRPr="00910B50">
        <w:rPr>
          <w:rStyle w:val="Kiemels2"/>
          <w:rFonts w:ascii="Century Gothic" w:hAnsi="Century Gothic"/>
          <w:sz w:val="22"/>
          <w:szCs w:val="22"/>
        </w:rPr>
        <w:t>Itt is találunk azonban ellenpéldát,</w:t>
      </w:r>
      <w:r w:rsidRPr="00910B50">
        <w:rPr>
          <w:rFonts w:ascii="Century Gothic" w:hAnsi="Century Gothic"/>
          <w:sz w:val="22"/>
          <w:szCs w:val="22"/>
        </w:rPr>
        <w:t xml:space="preserve"> amikor a Kúria a megtámadott rendeletről megállapította, hogy az </w:t>
      </w:r>
      <w:r w:rsidRPr="00910B50">
        <w:rPr>
          <w:rStyle w:val="Kiemels"/>
          <w:rFonts w:ascii="Century Gothic" w:hAnsi="Century Gothic"/>
          <w:sz w:val="22"/>
          <w:szCs w:val="22"/>
        </w:rPr>
        <w:t>nem</w:t>
      </w:r>
      <w:r w:rsidRPr="00910B50">
        <w:rPr>
          <w:rFonts w:ascii="Century Gothic" w:hAnsi="Century Gothic"/>
          <w:sz w:val="22"/>
          <w:szCs w:val="22"/>
        </w:rPr>
        <w:t>diszkriminatív:</w:t>
      </w:r>
    </w:p>
    <w:p w:rsidR="00910B50" w:rsidRPr="00910B50" w:rsidRDefault="00910B50" w:rsidP="00634360">
      <w:pPr>
        <w:numPr>
          <w:ilvl w:val="0"/>
          <w:numId w:val="8"/>
        </w:numPr>
        <w:spacing w:before="100" w:beforeAutospacing="1" w:after="100" w:afterAutospacing="1" w:line="240" w:lineRule="auto"/>
        <w:jc w:val="both"/>
        <w:rPr>
          <w:rFonts w:ascii="Century Gothic" w:hAnsi="Century Gothic"/>
        </w:rPr>
      </w:pPr>
      <w:r w:rsidRPr="00910B50">
        <w:rPr>
          <w:rFonts w:ascii="Century Gothic" w:hAnsi="Century Gothic"/>
        </w:rPr>
        <w:t xml:space="preserve">„A Kúria szerint ezért a szabályozás önmagában nem tekinthető diszkriminatívnak, mivel a teremgarázs-építmény és az önálló garázsépítmény közötti megkülönböztetés, figyelemmel az építményadó tárgyára (az adótárgyra és az adókötelezettség tárgyára is) – nem indokolatlan. Az Alaptörvénynek az indítványban fölhozott XV. cikk (1), (2) bekezdéseibe és XXX. cikk (1) bekezdésébe ütközés így nem állapítható meg. Jogszerű megkülönböztetést pedig az önkormányzat szabályozásában alkalmazhat.” </w:t>
      </w:r>
      <w:r w:rsidRPr="00910B50">
        <w:rPr>
          <w:rStyle w:val="Kiemels"/>
          <w:rFonts w:ascii="Century Gothic" w:hAnsi="Century Gothic"/>
        </w:rPr>
        <w:t>(Köf.5.002/2017/5. számú határozat [30] pont)</w:t>
      </w:r>
    </w:p>
    <w:p w:rsidR="00910B50" w:rsidRPr="00634360" w:rsidRDefault="00910B50" w:rsidP="00910B50">
      <w:pPr>
        <w:pStyle w:val="Cmsor2"/>
        <w:rPr>
          <w:rFonts w:ascii="Century Gothic" w:hAnsi="Century Gothic"/>
          <w:b/>
          <w:color w:val="auto"/>
          <w:sz w:val="22"/>
          <w:szCs w:val="22"/>
        </w:rPr>
      </w:pPr>
      <w:r w:rsidRPr="00634360">
        <w:rPr>
          <w:rStyle w:val="zold-szamozas"/>
          <w:rFonts w:ascii="Century Gothic" w:hAnsi="Century Gothic"/>
          <w:b/>
          <w:color w:val="auto"/>
          <w:sz w:val="22"/>
          <w:szCs w:val="22"/>
        </w:rPr>
        <w:t>3.</w:t>
      </w:r>
      <w:r w:rsidRPr="00634360">
        <w:rPr>
          <w:rFonts w:ascii="Century Gothic" w:hAnsi="Century Gothic"/>
          <w:b/>
          <w:color w:val="auto"/>
          <w:sz w:val="22"/>
          <w:szCs w:val="22"/>
        </w:rPr>
        <w:t xml:space="preserve"> Túlzó adómérték tilalma</w:t>
      </w:r>
    </w:p>
    <w:p w:rsidR="00910B50" w:rsidRPr="00910B50" w:rsidRDefault="00910B50" w:rsidP="00472DA5">
      <w:pPr>
        <w:pStyle w:val="NormlWeb"/>
        <w:jc w:val="both"/>
        <w:rPr>
          <w:rFonts w:ascii="Century Gothic" w:hAnsi="Century Gothic"/>
          <w:sz w:val="22"/>
          <w:szCs w:val="22"/>
        </w:rPr>
      </w:pPr>
      <w:r w:rsidRPr="00910B50">
        <w:rPr>
          <w:rStyle w:val="Kiemels2"/>
          <w:rFonts w:ascii="Century Gothic" w:hAnsi="Century Gothic"/>
          <w:sz w:val="22"/>
          <w:szCs w:val="22"/>
        </w:rPr>
        <w:t>Az építmény- és telekadó mértékével kapcsolatban az utóbbi években egyre gyakrabban merül fel,</w:t>
      </w:r>
      <w:r w:rsidRPr="00910B50">
        <w:rPr>
          <w:rFonts w:ascii="Century Gothic" w:hAnsi="Century Gothic"/>
          <w:sz w:val="22"/>
          <w:szCs w:val="22"/>
        </w:rPr>
        <w:t xml:space="preserve"> hogy a vagyon adóztatásáról van szó ugyan, ám ez nem jelentheti a vagyon „elkobzását”, nem lehet konfiskáló mértékű, azaz belátható időn belül nem emésztheti fel az adótárgy értékét:</w:t>
      </w:r>
    </w:p>
    <w:p w:rsidR="00910B50" w:rsidRPr="00910B50" w:rsidRDefault="00910B50" w:rsidP="00634360">
      <w:pPr>
        <w:numPr>
          <w:ilvl w:val="0"/>
          <w:numId w:val="9"/>
        </w:numPr>
        <w:spacing w:before="100" w:beforeAutospacing="1" w:after="100" w:afterAutospacing="1" w:line="240" w:lineRule="auto"/>
        <w:jc w:val="both"/>
        <w:rPr>
          <w:rFonts w:ascii="Century Gothic" w:hAnsi="Century Gothic"/>
        </w:rPr>
      </w:pPr>
      <w:r w:rsidRPr="00910B50">
        <w:rPr>
          <w:rFonts w:ascii="Century Gothic" w:hAnsi="Century Gothic"/>
        </w:rPr>
        <w:t xml:space="preserve">„A Kúria Köf. 5024/2016/5. számú határozatában a telek értékének 64%-át kitevő éves adómértéket minősítette konfiskálónak arra tekintettel, hogy a következő adóévekben az adóteher összege meghaladta a telek értékét. A Köf.5081/2013. számú ügyben pedig az adótárgy értékének 70%-át kitevő adóteher minősült túlzónak azzal, hogy az eloldódott a vagyontömeg értékétől.” </w:t>
      </w:r>
      <w:r w:rsidRPr="00910B50">
        <w:rPr>
          <w:rStyle w:val="Kiemels"/>
          <w:rFonts w:ascii="Century Gothic" w:hAnsi="Century Gothic"/>
        </w:rPr>
        <w:t>(Köf.5.010/2018/3. számú határozat [46] pont)</w:t>
      </w:r>
    </w:p>
    <w:p w:rsidR="00910B50" w:rsidRPr="00910B50" w:rsidRDefault="00910B50" w:rsidP="00634360">
      <w:pPr>
        <w:numPr>
          <w:ilvl w:val="0"/>
          <w:numId w:val="9"/>
        </w:numPr>
        <w:spacing w:before="100" w:beforeAutospacing="1" w:after="100" w:afterAutospacing="1" w:line="240" w:lineRule="auto"/>
        <w:jc w:val="both"/>
        <w:rPr>
          <w:rFonts w:ascii="Century Gothic" w:hAnsi="Century Gothic"/>
        </w:rPr>
      </w:pPr>
      <w:r w:rsidRPr="00910B50">
        <w:rPr>
          <w:rFonts w:ascii="Century Gothic" w:hAnsi="Century Gothic"/>
        </w:rPr>
        <w:t xml:space="preserve">„[…] a külterületi telek értékének közel 70%-át tette ki. Az Ör. nem tartalmaz olyan rendelkezést, amely arra utalna, hogy az érintett Önkormányzat figyelemmel lett volna akár az egyes külterületi ingatlanok között meglévő különbségekre, akár az egyes adóalanyok teherbíró képességére az adómérték megállapításakor. Az adó ilyen mértéke ezért túllép az adókéntifunkción. […] A Kúria Önkormányzati Tanácsa megállapította, hogy az Ör. 3. § (2) és (3) bekezdése a Hatv. 6. § c) pontjába ütközik, […]” </w:t>
      </w:r>
      <w:r w:rsidRPr="00910B50">
        <w:rPr>
          <w:rStyle w:val="Kiemels"/>
          <w:rFonts w:ascii="Century Gothic" w:hAnsi="Century Gothic"/>
        </w:rPr>
        <w:t>(Köf.5.081/2012/4. számú határozat II. 8. és 10. pont)</w:t>
      </w:r>
    </w:p>
    <w:p w:rsidR="00910B50" w:rsidRPr="00910B50" w:rsidRDefault="00910B50" w:rsidP="00634360">
      <w:pPr>
        <w:numPr>
          <w:ilvl w:val="0"/>
          <w:numId w:val="9"/>
        </w:numPr>
        <w:spacing w:before="100" w:beforeAutospacing="1" w:after="100" w:afterAutospacing="1" w:line="240" w:lineRule="auto"/>
        <w:jc w:val="both"/>
        <w:rPr>
          <w:rFonts w:ascii="Century Gothic" w:hAnsi="Century Gothic"/>
        </w:rPr>
      </w:pPr>
      <w:r w:rsidRPr="00910B50">
        <w:rPr>
          <w:rFonts w:ascii="Century Gothic" w:hAnsi="Century Gothic"/>
        </w:rPr>
        <w:t xml:space="preserve">„Súlyosan aránytalan a forgalmi érték 200% -át elérő mértékű éves telekadó, mert az egy félév alatt felemészti az adóztatott ingatlan értékét.” </w:t>
      </w:r>
      <w:r w:rsidRPr="00910B50">
        <w:rPr>
          <w:rStyle w:val="Kiemels"/>
          <w:rFonts w:ascii="Century Gothic" w:hAnsi="Century Gothic"/>
        </w:rPr>
        <w:t>(Köf.5.001/2018/5. számú határozat [36] pont)</w:t>
      </w:r>
    </w:p>
    <w:p w:rsidR="00910B50" w:rsidRPr="00910B50" w:rsidRDefault="00910B50" w:rsidP="00634360">
      <w:pPr>
        <w:numPr>
          <w:ilvl w:val="0"/>
          <w:numId w:val="9"/>
        </w:numPr>
        <w:spacing w:before="100" w:beforeAutospacing="1" w:after="100" w:afterAutospacing="1" w:line="240" w:lineRule="auto"/>
        <w:jc w:val="both"/>
        <w:rPr>
          <w:rFonts w:ascii="Century Gothic" w:hAnsi="Century Gothic"/>
        </w:rPr>
      </w:pPr>
      <w:r w:rsidRPr="00910B50">
        <w:rPr>
          <w:rFonts w:ascii="Century Gothic" w:hAnsi="Century Gothic"/>
        </w:rPr>
        <w:lastRenderedPageBreak/>
        <w:t xml:space="preserve">„[…] a telekadó konfiskáló jellegének eldöntése esetén tekintettel kell lenni a több évet átfogó adóztatási szabályokra, a tulajdon értékének változására és egyéb körülményekre is.” </w:t>
      </w:r>
      <w:r w:rsidRPr="00910B50">
        <w:rPr>
          <w:rStyle w:val="Kiemels"/>
          <w:rFonts w:ascii="Century Gothic" w:hAnsi="Century Gothic"/>
        </w:rPr>
        <w:t>(Köf.5026/2018/4. [29] pont)</w:t>
      </w:r>
    </w:p>
    <w:p w:rsidR="00472DA5" w:rsidRPr="00472DA5" w:rsidRDefault="00910B50" w:rsidP="00472DA5">
      <w:pPr>
        <w:numPr>
          <w:ilvl w:val="0"/>
          <w:numId w:val="9"/>
        </w:numPr>
        <w:spacing w:before="100" w:beforeAutospacing="1" w:after="100" w:afterAutospacing="1" w:line="240" w:lineRule="auto"/>
        <w:jc w:val="both"/>
        <w:rPr>
          <w:rStyle w:val="Kiemels"/>
          <w:rFonts w:ascii="Century Gothic" w:hAnsi="Century Gothic"/>
          <w:i w:val="0"/>
          <w:iCs w:val="0"/>
        </w:rPr>
      </w:pPr>
      <w:r w:rsidRPr="00910B50">
        <w:rPr>
          <w:rFonts w:ascii="Century Gothic" w:hAnsi="Century Gothic"/>
        </w:rPr>
        <w:t xml:space="preserve">„Az a vagyoni típusú adó, amely egy év alatt felemészti az ingatlan forgalmi értékét, ellentétes a közteherviselés általános elveivel, ezért ebben az esetben a több évet átfogó adóztatási gyakorlat vizsgálatára nincs szükség.” </w:t>
      </w:r>
      <w:r w:rsidRPr="00910B50">
        <w:rPr>
          <w:rStyle w:val="Kiemels"/>
          <w:rFonts w:ascii="Century Gothic" w:hAnsi="Century Gothic"/>
        </w:rPr>
        <w:t>(Köf.5.042/2016/5. számú határozat [33] pont)</w:t>
      </w: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A Kúria gyakorlatában több alkalommal is szembesült az adó mértékét támadó indítványokkal. Az indítványok részben az önkormányzati rendelet hátrányosan megkülönböztető jellegére, részben a vagyoni adó konfiskáló jellegére , részben pedig arra alapoztak, hogy az önkormányzat nem volt figyelemmel a Helyi adó törvény 6. § c) pontja szerinti kritériumok mindegyikére a rendeletének elfogadásakor.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Részben alkotmánybírósági esetjogra hivatkozva az Önkormányzati Tanács megállapította, hogy a vagyonadó kivetésekor mértékadó szempont az arányos, illetve a teherbíró képességhez igazodó közteherviselés. A vagyoni típusú adók esetében az adófizetési kötelezettség a tulajdonolt vagyontömegre tekintettel áll fenn, mértéke ahhoz igazodik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Ebből a Kúria három következtetést vont le gyakorlatában: a vagyontömeghez igazodó adómérték adja a helyi adók esetében az egyenlőségi szabályt, az adózó teherbíró képessége a vagyontömeghez viszonyított, emellett konfiskáló az az adómérték, amely belátható időn belül felemészti magát az adóztatott vagyont. Az ügyben a Kúria külön is kitért az adózó teherbíró képességének vizsgálatára. </w:t>
      </w: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a Kúria egyértelművé tette, hogy a Helyi adó törvény 6. § c) pontjának a tételes adómérték arányosítását szolgáló, az adóalany teherbíró képességére utaló fordulata nem az adóalany gazdasági fizetőkészségével és képességével áll összefüggésben.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Ezzel szemben megállapította, hogy „nem akkor teljesítőképes az adózó, ha fizetőképes, hanem akkor, ha a vagyonadó mértéke nem oldódik el az adótárgy értékétől”.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Az önkormányzati telekadóztatási gyakorlatra vonatkozó kúriai ítélkezési gyakorlat egyértelművé teszi, hogy az adómérték meghatározásának differenciáltsága és arányossága szorosan összefüggő kérdések. A helyi önkormányzatoknak a telekadó-mérték meghatározása során tekintettel kell lenniük a telkek – közművesítettségében, közúton történő megközelíthetőségében rejlő – értékére is.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Az önkormányzatnak értékelnie kell az illetékességi területe alá tartozó telkek rendeltetését, azok földrajzi elhelyezkedését, a településre jellemző eltérő forgalmi értékeket általában és a településen belüli forgalmi értékekben jelentkező eltéréseket is. Továbbá megjelent az a szempont is, </w:t>
      </w:r>
      <w:r w:rsidRPr="00472DA5">
        <w:rPr>
          <w:rFonts w:ascii="Century Gothic" w:hAnsi="Century Gothic"/>
          <w:sz w:val="23"/>
          <w:szCs w:val="23"/>
        </w:rPr>
        <w:lastRenderedPageBreak/>
        <w:t xml:space="preserve">hogy adott kategórián belül ne legyen olyan nagy eltérés, ami jogszerűen nem indokolható. </w:t>
      </w:r>
    </w:p>
    <w:p w:rsidR="00472DA5" w:rsidRPr="00472DA5" w:rsidRDefault="00472DA5" w:rsidP="00472DA5">
      <w:pPr>
        <w:pStyle w:val="Default"/>
        <w:ind w:left="720"/>
        <w:jc w:val="both"/>
        <w:rPr>
          <w:rFonts w:ascii="Century Gothic" w:hAnsi="Century Gothic"/>
          <w:sz w:val="23"/>
          <w:szCs w:val="23"/>
        </w:rPr>
      </w:pPr>
    </w:p>
    <w:p w:rsidR="00472DA5" w:rsidRPr="00472DA5" w:rsidRDefault="00472DA5" w:rsidP="00472DA5">
      <w:pPr>
        <w:pStyle w:val="Default"/>
        <w:ind w:left="720"/>
        <w:jc w:val="both"/>
        <w:rPr>
          <w:rFonts w:ascii="Century Gothic" w:hAnsi="Century Gothic"/>
          <w:sz w:val="23"/>
          <w:szCs w:val="23"/>
        </w:rPr>
      </w:pPr>
      <w:r w:rsidRPr="00472DA5">
        <w:rPr>
          <w:rFonts w:ascii="Century Gothic" w:hAnsi="Century Gothic"/>
          <w:sz w:val="23"/>
          <w:szCs w:val="23"/>
        </w:rPr>
        <w:t xml:space="preserve">Konfiskáló jellegű az az adó, amely mértékénél fogva és az adó tárgyát képező vagyontömeghez képest súlyosan aránytalan. Az az adómérték, amely évente a vagyon értékének közel 60–70 %-át teszi ki, súlyosan aránytalannak minősül, mivel belátható időn belül felemészti az adótárgyat. </w:t>
      </w:r>
    </w:p>
    <w:p w:rsidR="00472DA5" w:rsidRPr="00472DA5" w:rsidRDefault="00472DA5" w:rsidP="00472DA5">
      <w:pPr>
        <w:pStyle w:val="Default"/>
        <w:ind w:left="720"/>
        <w:jc w:val="both"/>
        <w:rPr>
          <w:sz w:val="23"/>
          <w:szCs w:val="23"/>
        </w:rPr>
      </w:pPr>
      <w:r w:rsidRPr="00472DA5">
        <w:rPr>
          <w:rFonts w:ascii="Century Gothic" w:hAnsi="Century Gothic"/>
          <w:sz w:val="23"/>
          <w:szCs w:val="23"/>
        </w:rPr>
        <w:t>Az önkormányzat nem sérti a telekadó mértékére vonatkozó törvényi szabályokat az az adómérték, amely az adómaximum alatt úgy került meghatározásra, hogy kellően differenciál a rendelet hatálya alá tartozó adóalanyok és a telkek sajátosságait is figyelembe</w:t>
      </w:r>
      <w:r>
        <w:rPr>
          <w:sz w:val="23"/>
          <w:szCs w:val="23"/>
        </w:rPr>
        <w:t xml:space="preserve"> véve. </w:t>
      </w:r>
    </w:p>
    <w:p w:rsidR="00910B50" w:rsidRPr="00910B50" w:rsidRDefault="00910B50" w:rsidP="008228EE">
      <w:pPr>
        <w:pStyle w:val="NormlWeb"/>
        <w:jc w:val="both"/>
        <w:rPr>
          <w:rFonts w:ascii="Century Gothic" w:hAnsi="Century Gothic"/>
          <w:sz w:val="22"/>
          <w:szCs w:val="22"/>
        </w:rPr>
      </w:pPr>
      <w:r w:rsidRPr="00910B50">
        <w:rPr>
          <w:rStyle w:val="Kiemels2"/>
          <w:rFonts w:ascii="Century Gothic" w:hAnsi="Century Gothic"/>
          <w:sz w:val="22"/>
          <w:szCs w:val="22"/>
        </w:rPr>
        <w:t>A képviselő-testületek ugyanakkor alapvetően szabadon dönthetnek róla,</w:t>
      </w:r>
      <w:r w:rsidRPr="00910B50">
        <w:rPr>
          <w:rFonts w:ascii="Century Gothic" w:hAnsi="Century Gothic"/>
          <w:sz w:val="22"/>
          <w:szCs w:val="22"/>
        </w:rPr>
        <w:t xml:space="preserve"> hogy a törvényi határok és szempontok betartásával hogyan állapítják meg az adómértékeket. A Kúria csak az egyértelműen jogsértő esetekben semmisíti meg a rendeletet, ennek hiányában nem avatkozik bele a helyi szabályozásba:</w:t>
      </w:r>
    </w:p>
    <w:p w:rsidR="00910B50" w:rsidRPr="00910B50" w:rsidRDefault="00910B50" w:rsidP="008228EE">
      <w:pPr>
        <w:numPr>
          <w:ilvl w:val="0"/>
          <w:numId w:val="10"/>
        </w:numPr>
        <w:spacing w:before="100" w:beforeAutospacing="1" w:after="100" w:afterAutospacing="1" w:line="240" w:lineRule="auto"/>
        <w:jc w:val="both"/>
        <w:rPr>
          <w:rFonts w:ascii="Century Gothic" w:hAnsi="Century Gothic"/>
        </w:rPr>
      </w:pPr>
      <w:r w:rsidRPr="00910B50">
        <w:rPr>
          <w:rFonts w:ascii="Century Gothic" w:hAnsi="Century Gothic"/>
        </w:rPr>
        <w:t xml:space="preserve">„Az adómérték akkor ütközik a Helyi adó tv. 6. § c) pontjába, amennyiben az bizonyítható a Kúria előtt folyamatban lévő normakontroll eljárásban.” </w:t>
      </w:r>
      <w:r w:rsidRPr="00910B50">
        <w:rPr>
          <w:rStyle w:val="Kiemels"/>
          <w:rFonts w:ascii="Century Gothic" w:hAnsi="Century Gothic"/>
        </w:rPr>
        <w:t>(Köf.5.027/2016/4. számú határozat [21] pont)</w:t>
      </w:r>
    </w:p>
    <w:p w:rsidR="00910B50" w:rsidRPr="00910B50" w:rsidRDefault="00910B50" w:rsidP="008228EE">
      <w:pPr>
        <w:numPr>
          <w:ilvl w:val="0"/>
          <w:numId w:val="10"/>
        </w:numPr>
        <w:spacing w:before="100" w:beforeAutospacing="1" w:after="100" w:afterAutospacing="1" w:line="240" w:lineRule="auto"/>
        <w:jc w:val="both"/>
        <w:rPr>
          <w:rFonts w:ascii="Century Gothic" w:hAnsi="Century Gothic"/>
        </w:rPr>
      </w:pPr>
      <w:r w:rsidRPr="00910B50">
        <w:rPr>
          <w:rFonts w:ascii="Century Gothic" w:hAnsi="Century Gothic"/>
        </w:rPr>
        <w:t xml:space="preserve">„[…] Egy adott adóalany gazdasági teljesítőképességének növekedése vagy csökkenése nem ad alapot a helyi adó törvényellenességének megállapítására.” </w:t>
      </w:r>
      <w:r w:rsidRPr="00910B50">
        <w:rPr>
          <w:rStyle w:val="Kiemels"/>
          <w:rFonts w:ascii="Century Gothic" w:hAnsi="Century Gothic"/>
        </w:rPr>
        <w:t>(Köf.5.011/2017/4. számú határozat [37] pont)</w:t>
      </w:r>
    </w:p>
    <w:p w:rsidR="00910B50" w:rsidRPr="00910B50" w:rsidRDefault="00910B50" w:rsidP="008228EE">
      <w:pPr>
        <w:numPr>
          <w:ilvl w:val="0"/>
          <w:numId w:val="10"/>
        </w:numPr>
        <w:spacing w:before="100" w:beforeAutospacing="1" w:after="100" w:afterAutospacing="1" w:line="240" w:lineRule="auto"/>
        <w:jc w:val="both"/>
        <w:rPr>
          <w:rFonts w:ascii="Century Gothic" w:hAnsi="Century Gothic"/>
        </w:rPr>
      </w:pPr>
      <w:r w:rsidRPr="00910B50">
        <w:rPr>
          <w:rFonts w:ascii="Century Gothic" w:hAnsi="Century Gothic"/>
        </w:rPr>
        <w:t xml:space="preserve">„A Kúria jelen ügyben is hangsúlyozza, hogy az önkormányzatnak normatív módon kell szabályozni a vagyoni típusú adó mértékét és nem az egyes építmények műszaki állapotához kell igazítani az adózót terhelő építményadó fizetési kötelezettséget. […] A fenti mentességi szabályok alapján is látható, hogy az önkormányzat az építményadó tekintetében differenciálta az adókötelezettséget, további adómentességek biztosításával is hozzájárult ahhoz, hogy a normatív szabályok az adóalanyok teherviselő-képességét is figyelembe vevő helyi adózást alakítsanak ki.” </w:t>
      </w:r>
      <w:r w:rsidRPr="00910B50">
        <w:rPr>
          <w:rStyle w:val="Kiemels"/>
          <w:rFonts w:ascii="Century Gothic" w:hAnsi="Century Gothic"/>
        </w:rPr>
        <w:t>(Köf.5.035/2017/3. számú határozat [22] és [25] pont)</w:t>
      </w:r>
    </w:p>
    <w:p w:rsidR="00910B50" w:rsidRPr="008228EE" w:rsidRDefault="00910B50" w:rsidP="00910B50">
      <w:pPr>
        <w:pStyle w:val="Cmsor2"/>
        <w:rPr>
          <w:rFonts w:ascii="Century Gothic" w:hAnsi="Century Gothic"/>
          <w:b/>
          <w:color w:val="auto"/>
          <w:sz w:val="22"/>
          <w:szCs w:val="22"/>
        </w:rPr>
      </w:pPr>
      <w:r w:rsidRPr="008228EE">
        <w:rPr>
          <w:rStyle w:val="zold-szamozas"/>
          <w:rFonts w:ascii="Century Gothic" w:hAnsi="Century Gothic"/>
          <w:b/>
          <w:color w:val="auto"/>
          <w:sz w:val="22"/>
          <w:szCs w:val="22"/>
        </w:rPr>
        <w:t>4.</w:t>
      </w:r>
      <w:r w:rsidRPr="008228EE">
        <w:rPr>
          <w:rFonts w:ascii="Century Gothic" w:hAnsi="Century Gothic"/>
          <w:b/>
          <w:color w:val="auto"/>
          <w:sz w:val="22"/>
          <w:szCs w:val="22"/>
        </w:rPr>
        <w:t xml:space="preserve"> Lakáshoz kötődő adókedvezmény szempontjai</w:t>
      </w:r>
    </w:p>
    <w:p w:rsidR="00910B50" w:rsidRPr="00910B50" w:rsidRDefault="00910B50" w:rsidP="008228EE">
      <w:pPr>
        <w:pStyle w:val="NormlWeb"/>
        <w:jc w:val="both"/>
        <w:rPr>
          <w:rFonts w:ascii="Century Gothic" w:hAnsi="Century Gothic"/>
          <w:sz w:val="22"/>
          <w:szCs w:val="22"/>
        </w:rPr>
      </w:pPr>
      <w:r w:rsidRPr="00910B50">
        <w:rPr>
          <w:rStyle w:val="Kiemels2"/>
          <w:rFonts w:ascii="Century Gothic" w:hAnsi="Century Gothic"/>
          <w:sz w:val="22"/>
          <w:szCs w:val="22"/>
        </w:rPr>
        <w:t>A Htv. a helyi adókedvezmények lehetőségének szabályozásakor kiemeli</w:t>
      </w:r>
      <w:r w:rsidRPr="00910B50">
        <w:rPr>
          <w:rFonts w:ascii="Century Gothic" w:hAnsi="Century Gothic"/>
          <w:sz w:val="22"/>
          <w:szCs w:val="22"/>
        </w:rPr>
        <w:t xml:space="preserve"> a lakásokra vonatkozó, a lakók szociális helyzetéhez kapcsolódó kedvezmények lehetőségét:</w:t>
      </w:r>
    </w:p>
    <w:p w:rsidR="00910B50" w:rsidRPr="00910B50" w:rsidRDefault="00910B50" w:rsidP="008228EE">
      <w:pPr>
        <w:pStyle w:val="NormlWeb"/>
        <w:jc w:val="both"/>
        <w:rPr>
          <w:rFonts w:ascii="Century Gothic" w:hAnsi="Century Gothic"/>
          <w:sz w:val="22"/>
          <w:szCs w:val="22"/>
        </w:rPr>
      </w:pPr>
      <w:r w:rsidRPr="00910B50">
        <w:rPr>
          <w:rStyle w:val="Kiemels"/>
          <w:rFonts w:ascii="Century Gothic" w:hAnsi="Century Gothic"/>
          <w:sz w:val="22"/>
          <w:szCs w:val="22"/>
        </w:rPr>
        <w:t>„6. § Az önkormányzat adómegállapítási joga arra terjed ki, hogy:</w:t>
      </w:r>
      <w:r w:rsidRPr="00910B50">
        <w:rPr>
          <w:rFonts w:ascii="Century Gothic" w:hAnsi="Century Gothic"/>
          <w:sz w:val="22"/>
          <w:szCs w:val="22"/>
        </w:rPr>
        <w:br/>
      </w:r>
      <w:r w:rsidRPr="00910B50">
        <w:rPr>
          <w:rStyle w:val="Kiemels"/>
          <w:rFonts w:ascii="Century Gothic" w:hAnsi="Century Gothic"/>
          <w:sz w:val="22"/>
          <w:szCs w:val="22"/>
        </w:rPr>
        <w:t>d) az e törvény második részében meghatározott mentességeket, kedvezményeket további mentességekkel, kedvezményekkel,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kibővítse, […]”</w:t>
      </w:r>
    </w:p>
    <w:p w:rsidR="000C5C9F" w:rsidRDefault="000C5C9F" w:rsidP="008228EE">
      <w:pPr>
        <w:pStyle w:val="NormlWeb"/>
        <w:jc w:val="both"/>
        <w:rPr>
          <w:rFonts w:ascii="Century Gothic" w:hAnsi="Century Gothic"/>
          <w:sz w:val="22"/>
          <w:szCs w:val="22"/>
        </w:rPr>
      </w:pPr>
    </w:p>
    <w:p w:rsidR="000C5C9F" w:rsidRDefault="00910B50" w:rsidP="008228EE">
      <w:pPr>
        <w:pStyle w:val="NormlWeb"/>
        <w:jc w:val="both"/>
        <w:rPr>
          <w:rFonts w:ascii="Century Gothic" w:hAnsi="Century Gothic"/>
          <w:sz w:val="22"/>
          <w:szCs w:val="22"/>
        </w:rPr>
      </w:pPr>
      <w:r w:rsidRPr="00910B50">
        <w:rPr>
          <w:rFonts w:ascii="Century Gothic" w:hAnsi="Century Gothic"/>
          <w:sz w:val="22"/>
          <w:szCs w:val="22"/>
        </w:rPr>
        <w:lastRenderedPageBreak/>
        <w:t xml:space="preserve">Az, hogy a törvény itt kifejezett szempontokat határoz meg, behatárolja a képviselő-testületek mozgásterét a lakásra vonatkozó adókedvezmények feltételeinek meghatározásakor. </w:t>
      </w:r>
    </w:p>
    <w:p w:rsidR="00910B50" w:rsidRPr="000C5C9F" w:rsidRDefault="00910B50" w:rsidP="008228EE">
      <w:pPr>
        <w:numPr>
          <w:ilvl w:val="0"/>
          <w:numId w:val="11"/>
        </w:numPr>
        <w:spacing w:before="100" w:beforeAutospacing="1" w:after="100" w:afterAutospacing="1" w:line="240" w:lineRule="auto"/>
        <w:jc w:val="both"/>
        <w:rPr>
          <w:rFonts w:ascii="Century Gothic" w:hAnsi="Century Gothic"/>
          <w:b/>
        </w:rPr>
      </w:pPr>
      <w:r w:rsidRPr="000C5C9F">
        <w:rPr>
          <w:rFonts w:ascii="Century Gothic" w:hAnsi="Century Gothic"/>
          <w:b/>
        </w:rPr>
        <w:t xml:space="preserve">„Az Ör. akkor hatályos szövege szerint: </w:t>
      </w:r>
      <w:r w:rsidRPr="000C5C9F">
        <w:rPr>
          <w:rStyle w:val="Kiemels"/>
          <w:rFonts w:ascii="Century Gothic" w:hAnsi="Century Gothic"/>
          <w:b/>
        </w:rPr>
        <w:t>»[…] mentes az adó alól […] valamennyi lakás céljára szolgáló ingatlan, melyet bejelentett állandó lakosként a tulajdonos, vagyoni értékű jog jogosultja, illetve azoknak a Ptk. szerinti közeli hozzátartozója lakja […]«</w:t>
      </w:r>
      <w:r w:rsidRPr="000C5C9F">
        <w:rPr>
          <w:rFonts w:ascii="Century Gothic" w:hAnsi="Century Gothic"/>
          <w:b/>
        </w:rPr>
        <w:t xml:space="preserve"> […] A Kúria Önkormányzati Tanácsa az igazgatási aktushoz kötött feltételt a Htv. 6. § d) pontja szerinti nem megengedhető többletfeltételként értékelte, ezért megállapította az Ör. 4. § (4) bekezdés »bejelentett állandó lakosként« fordulatának törvényellenességét.” </w:t>
      </w:r>
      <w:r w:rsidRPr="000C5C9F">
        <w:rPr>
          <w:rStyle w:val="Kiemels"/>
          <w:rFonts w:ascii="Century Gothic" w:hAnsi="Century Gothic"/>
          <w:b/>
        </w:rPr>
        <w:t>(Köf.5.006/2017/3. számú határozat [14]–[15] pont)</w:t>
      </w:r>
    </w:p>
    <w:p w:rsidR="00910B50" w:rsidRPr="000C5C9F" w:rsidRDefault="00910B50" w:rsidP="008228EE">
      <w:pPr>
        <w:numPr>
          <w:ilvl w:val="0"/>
          <w:numId w:val="11"/>
        </w:numPr>
        <w:spacing w:before="100" w:beforeAutospacing="1" w:after="100" w:afterAutospacing="1" w:line="240" w:lineRule="auto"/>
        <w:jc w:val="both"/>
        <w:rPr>
          <w:rFonts w:ascii="Century Gothic" w:hAnsi="Century Gothic"/>
          <w:b/>
        </w:rPr>
      </w:pPr>
      <w:r w:rsidRPr="000C5C9F">
        <w:rPr>
          <w:rFonts w:ascii="Century Gothic" w:hAnsi="Century Gothic"/>
          <w:b/>
        </w:rPr>
        <w:t xml:space="preserve">„[…] az adókötelezettség alóli mentesülés nem lehet az adóalany igazgatási jellegű nyilvántartásának függvénye.” </w:t>
      </w:r>
      <w:r w:rsidRPr="000C5C9F">
        <w:rPr>
          <w:rStyle w:val="Kiemels"/>
          <w:rFonts w:ascii="Century Gothic" w:hAnsi="Century Gothic"/>
          <w:b/>
        </w:rPr>
        <w:t>(Köf.5.035/2018/3. számú határozat [24] pont)</w:t>
      </w:r>
    </w:p>
    <w:p w:rsidR="00910B50" w:rsidRPr="008228EE" w:rsidRDefault="00910B50" w:rsidP="00910B50">
      <w:pPr>
        <w:pStyle w:val="Cmsor2"/>
        <w:rPr>
          <w:rFonts w:ascii="Century Gothic" w:hAnsi="Century Gothic"/>
          <w:b/>
          <w:color w:val="auto"/>
          <w:sz w:val="22"/>
          <w:szCs w:val="22"/>
        </w:rPr>
      </w:pPr>
      <w:r w:rsidRPr="008228EE">
        <w:rPr>
          <w:rStyle w:val="zold-szamozas"/>
          <w:rFonts w:ascii="Century Gothic" w:hAnsi="Century Gothic"/>
          <w:b/>
          <w:color w:val="auto"/>
          <w:sz w:val="22"/>
          <w:szCs w:val="22"/>
        </w:rPr>
        <w:t>5.</w:t>
      </w:r>
      <w:r w:rsidRPr="008228EE">
        <w:rPr>
          <w:rFonts w:ascii="Century Gothic" w:hAnsi="Century Gothic"/>
          <w:b/>
          <w:color w:val="auto"/>
          <w:sz w:val="22"/>
          <w:szCs w:val="22"/>
        </w:rPr>
        <w:t xml:space="preserve"> Adótárgyak összevonásának tilalma</w:t>
      </w:r>
    </w:p>
    <w:p w:rsidR="00910B50" w:rsidRPr="00910B50" w:rsidRDefault="00910B50" w:rsidP="008228EE">
      <w:pPr>
        <w:pStyle w:val="NormlWeb"/>
        <w:jc w:val="both"/>
        <w:rPr>
          <w:rFonts w:ascii="Century Gothic" w:hAnsi="Century Gothic"/>
          <w:sz w:val="22"/>
          <w:szCs w:val="22"/>
        </w:rPr>
      </w:pPr>
      <w:r w:rsidRPr="00910B50">
        <w:rPr>
          <w:rStyle w:val="Kiemels2"/>
          <w:rFonts w:ascii="Century Gothic" w:hAnsi="Century Gothic"/>
          <w:sz w:val="22"/>
          <w:szCs w:val="22"/>
        </w:rPr>
        <w:t>Szem előtt kell tartanunk, hogy az építményadó és a telekadó tekintetében az adó tárgya nem az ingatlan, hanem az azon álló építmény, illetve a telek</w:t>
      </w:r>
      <w:r w:rsidRPr="00910B50">
        <w:rPr>
          <w:rFonts w:ascii="Century Gothic" w:hAnsi="Century Gothic"/>
          <w:sz w:val="22"/>
          <w:szCs w:val="22"/>
        </w:rPr>
        <w:t xml:space="preserve"> (azaz a beépítetlen földterület). Ennélfogva egy ingatlanon több adótárgyat is találhatunk, ami nemcsak egy építményadó- és egy telekadó-tárgyat jelenthet, hanem pl. több építményadó-tárgyat is. A Kúria egyértelművé tette, hogy a különálló épületek mindenképp külön adótárgyat jelentenek, függetlenül attól, hogy azonos ingatlanon (azonos helyrajzi számon) találhatók-e (és attól is, hogy azonos-e az adóalany). Ennek különös jelentősége lehet sávos adómérték esetén:</w:t>
      </w:r>
    </w:p>
    <w:p w:rsidR="00910B50" w:rsidRPr="00910B50" w:rsidRDefault="00910B50" w:rsidP="008228EE">
      <w:pPr>
        <w:numPr>
          <w:ilvl w:val="0"/>
          <w:numId w:val="12"/>
        </w:numPr>
        <w:spacing w:before="100" w:beforeAutospacing="1" w:after="100" w:afterAutospacing="1" w:line="240" w:lineRule="auto"/>
        <w:jc w:val="both"/>
        <w:rPr>
          <w:rFonts w:ascii="Century Gothic" w:hAnsi="Century Gothic"/>
        </w:rPr>
      </w:pPr>
      <w:r w:rsidRPr="00910B50">
        <w:rPr>
          <w:rFonts w:ascii="Century Gothic" w:hAnsi="Century Gothic"/>
        </w:rPr>
        <w:t xml:space="preserve">„[…] az Önkormányzat az építményadóról szóló önkormányzati rendelete […] szerint az építményadó mértékének kiszámításánál adótárgyanként az egy helyrajzi számon lévő lakás, illetve az egy helyrajzi számon lévő nem lakás céljára szolgáló épület, épületrész összesített adóköteles hasznos alapterületét kell az adó alapjának tekinteni. Így az építményadó összege a fenti helyrajzi számon található 36 különálló épület hasznos alapterületét összeszámítva, ennek következtében a sávosan progresszív skála legmagasabb adósávjába tartozóan került megállapításra. […] A Kúria Önkormányzati Tanácsa megállapította, hogy a jelen ügyben az önkormányzat a törvényi felhatalmazáson túlterjeszkedett, amikor a fizetendő adó összegét az egyes adótárgyak összevont alapterülete alapján rendelte megállapítani. […] Építményadó esetén a fizetendő adó összegét – azonos adóalany esetében is – adótárgyaként (építményeként) kell megállapítani.” </w:t>
      </w:r>
      <w:r w:rsidRPr="00910B50">
        <w:rPr>
          <w:rStyle w:val="Kiemels"/>
          <w:rFonts w:ascii="Century Gothic" w:hAnsi="Century Gothic"/>
        </w:rPr>
        <w:t>(Köf.5031/2018/5. számú határozat [1], [23] és [25] pont)</w:t>
      </w:r>
    </w:p>
    <w:p w:rsidR="00910B50" w:rsidRPr="008228EE" w:rsidRDefault="00910B50" w:rsidP="00910B50">
      <w:pPr>
        <w:pStyle w:val="Cmsor2"/>
        <w:rPr>
          <w:rFonts w:ascii="Century Gothic" w:hAnsi="Century Gothic"/>
          <w:b/>
          <w:color w:val="auto"/>
          <w:sz w:val="22"/>
          <w:szCs w:val="22"/>
        </w:rPr>
      </w:pPr>
      <w:r w:rsidRPr="008228EE">
        <w:rPr>
          <w:rStyle w:val="zold-szamozas"/>
          <w:rFonts w:ascii="Century Gothic" w:hAnsi="Century Gothic"/>
          <w:b/>
          <w:color w:val="auto"/>
          <w:sz w:val="22"/>
          <w:szCs w:val="22"/>
        </w:rPr>
        <w:t>6.</w:t>
      </w:r>
      <w:r w:rsidRPr="008228EE">
        <w:rPr>
          <w:rFonts w:ascii="Century Gothic" w:hAnsi="Century Gothic"/>
          <w:b/>
          <w:color w:val="auto"/>
          <w:sz w:val="22"/>
          <w:szCs w:val="22"/>
        </w:rPr>
        <w:t xml:space="preserve"> Önkormányzati autonómia</w:t>
      </w:r>
    </w:p>
    <w:p w:rsidR="00910B50" w:rsidRPr="00910B50" w:rsidRDefault="008228EE" w:rsidP="00910B50">
      <w:pPr>
        <w:pStyle w:val="NormlWeb"/>
        <w:rPr>
          <w:rFonts w:ascii="Century Gothic" w:hAnsi="Century Gothic"/>
          <w:sz w:val="22"/>
          <w:szCs w:val="22"/>
        </w:rPr>
      </w:pPr>
      <w:r>
        <w:rPr>
          <w:rStyle w:val="Kiemels2"/>
          <w:rFonts w:ascii="Century Gothic" w:hAnsi="Century Gothic"/>
          <w:sz w:val="22"/>
          <w:szCs w:val="22"/>
        </w:rPr>
        <w:t>A</w:t>
      </w:r>
      <w:r w:rsidR="00910B50" w:rsidRPr="00910B50">
        <w:rPr>
          <w:rStyle w:val="Kiemels2"/>
          <w:rFonts w:ascii="Century Gothic" w:hAnsi="Century Gothic"/>
          <w:sz w:val="22"/>
          <w:szCs w:val="22"/>
        </w:rPr>
        <w:t xml:space="preserve"> helyi adók szabályozása körében alapvetően az önkormányzati önállóság érvényesül,</w:t>
      </w:r>
      <w:r w:rsidR="00910B50" w:rsidRPr="00910B50">
        <w:rPr>
          <w:rFonts w:ascii="Century Gothic" w:hAnsi="Century Gothic"/>
          <w:sz w:val="22"/>
          <w:szCs w:val="22"/>
        </w:rPr>
        <w:t xml:space="preserve"> csupán a törvényi kereteket egyértelműen átlépő helyi rendeletek esetében kerül sor megsemmisítésre.</w:t>
      </w:r>
    </w:p>
    <w:p w:rsidR="00910B50" w:rsidRPr="00910B50" w:rsidRDefault="00910B50" w:rsidP="00910B50">
      <w:pPr>
        <w:pStyle w:val="NormlWeb"/>
        <w:rPr>
          <w:rFonts w:ascii="Century Gothic" w:hAnsi="Century Gothic"/>
          <w:sz w:val="22"/>
          <w:szCs w:val="22"/>
        </w:rPr>
      </w:pPr>
      <w:r w:rsidRPr="00910B50">
        <w:rPr>
          <w:rStyle w:val="Kiemels2"/>
          <w:rFonts w:ascii="Century Gothic" w:hAnsi="Century Gothic"/>
          <w:sz w:val="22"/>
          <w:szCs w:val="22"/>
        </w:rPr>
        <w:t>A helyi autonómiát több esetben megerősítette a Kúria:</w:t>
      </w:r>
    </w:p>
    <w:p w:rsidR="00910B50" w:rsidRPr="00910B50" w:rsidRDefault="00910B50" w:rsidP="008228EE">
      <w:pPr>
        <w:numPr>
          <w:ilvl w:val="0"/>
          <w:numId w:val="13"/>
        </w:numPr>
        <w:spacing w:before="100" w:beforeAutospacing="1" w:after="100" w:afterAutospacing="1" w:line="240" w:lineRule="auto"/>
        <w:jc w:val="both"/>
        <w:rPr>
          <w:rFonts w:ascii="Century Gothic" w:hAnsi="Century Gothic"/>
        </w:rPr>
      </w:pPr>
      <w:r w:rsidRPr="00910B50">
        <w:rPr>
          <w:rFonts w:ascii="Century Gothic" w:hAnsi="Century Gothic"/>
        </w:rPr>
        <w:lastRenderedPageBreak/>
        <w:t xml:space="preserve">„A Kúria az Alaptörvény és a Bszi. által lehetővé tett normakontroll során az önkormányzati rendeletek célszerűségi vizsgálatát nem végezheti el. Felhatalmazása arra terjed ki, hogy az önkormányzati rendeletek jogszerűségét, más jogszabályokkal való ellentétét vizsgálja, és az ellentét megállapítása esetén az önkormányzati rendeletet megsemmisítse. […]” </w:t>
      </w:r>
      <w:r w:rsidRPr="00910B50">
        <w:rPr>
          <w:rStyle w:val="Kiemels"/>
          <w:rFonts w:ascii="Century Gothic" w:hAnsi="Century Gothic"/>
        </w:rPr>
        <w:t>(Köf.5.002/2017/5. számú határozat [26] pont, Köf.5.003/2017/4. számú határozat [28] pont, valamint Köf.5.008/2017/4. számú határozat [31] pont)</w:t>
      </w:r>
    </w:p>
    <w:p w:rsidR="00910B50" w:rsidRPr="00910B50" w:rsidRDefault="00910B50" w:rsidP="008228EE">
      <w:pPr>
        <w:numPr>
          <w:ilvl w:val="0"/>
          <w:numId w:val="13"/>
        </w:numPr>
        <w:spacing w:before="100" w:beforeAutospacing="1" w:after="100" w:afterAutospacing="1" w:line="240" w:lineRule="auto"/>
        <w:jc w:val="both"/>
        <w:rPr>
          <w:rFonts w:ascii="Century Gothic" w:hAnsi="Century Gothic"/>
        </w:rPr>
      </w:pPr>
      <w:r w:rsidRPr="00910B50">
        <w:rPr>
          <w:rFonts w:ascii="Century Gothic" w:hAnsi="Century Gothic"/>
        </w:rPr>
        <w:t xml:space="preserve">„Az Önkormányzatnak elvitathatatlan joga, hogy településpolitikája részeként ingatlangazdálkodási politikát folytasson és ahhoz – a jogszerűség keretei között – helyiadó-rendszeri eszközöket is igénybe vegyen.” </w:t>
      </w:r>
      <w:r w:rsidRPr="00910B50">
        <w:rPr>
          <w:rStyle w:val="Kiemels"/>
          <w:rFonts w:ascii="Century Gothic" w:hAnsi="Century Gothic"/>
        </w:rPr>
        <w:t>(Köf.5.007/2017/4. számú határozat [25] pont)</w:t>
      </w:r>
    </w:p>
    <w:p w:rsidR="00910B50" w:rsidRPr="00910B50" w:rsidRDefault="00910B50" w:rsidP="008228EE">
      <w:pPr>
        <w:numPr>
          <w:ilvl w:val="0"/>
          <w:numId w:val="13"/>
        </w:numPr>
        <w:spacing w:before="100" w:beforeAutospacing="1" w:after="100" w:afterAutospacing="1" w:line="240" w:lineRule="auto"/>
        <w:jc w:val="both"/>
        <w:rPr>
          <w:rFonts w:ascii="Century Gothic" w:hAnsi="Century Gothic"/>
        </w:rPr>
      </w:pPr>
      <w:r w:rsidRPr="00910B50">
        <w:rPr>
          <w:rFonts w:ascii="Century Gothic" w:hAnsi="Century Gothic"/>
        </w:rPr>
        <w:t xml:space="preserve">„A törvény által biztosított esélyegyenlőséget meghaladó „megkülönböztetés”, amit például a településpolitikai vagy tervezési döntések közvetítenek, pusztán e jellegzetesség folytán nem minősül jogellenesnek.” </w:t>
      </w:r>
      <w:r w:rsidRPr="00910B50">
        <w:rPr>
          <w:rStyle w:val="Kiemels"/>
          <w:rFonts w:ascii="Century Gothic" w:hAnsi="Century Gothic"/>
        </w:rPr>
        <w:t>(Köf.5.009/2018/9. számú határozat [38] pont)</w:t>
      </w:r>
    </w:p>
    <w:p w:rsidR="00910B50" w:rsidRPr="00910B50" w:rsidRDefault="00910B50" w:rsidP="008228EE">
      <w:pPr>
        <w:numPr>
          <w:ilvl w:val="0"/>
          <w:numId w:val="13"/>
        </w:numPr>
        <w:spacing w:before="100" w:beforeAutospacing="1" w:after="100" w:afterAutospacing="1" w:line="240" w:lineRule="auto"/>
        <w:jc w:val="both"/>
        <w:rPr>
          <w:rFonts w:ascii="Century Gothic" w:hAnsi="Century Gothic"/>
        </w:rPr>
      </w:pPr>
      <w:r w:rsidRPr="00910B50">
        <w:rPr>
          <w:rFonts w:ascii="Century Gothic" w:hAnsi="Century Gothic"/>
        </w:rPr>
        <w:t xml:space="preserve">„Megállapítható, hogy az Ör. a mérlegelési jog gyakorlása körében a törvény szabta keretek között maradt. A helyi sajátosságokhoz, az önkormányzat gazdálkodási követelményeihez és az adóalanyok teherviselő képességéhez igazodva ugyanis a prioritások meghatározása a mérlegelési jog körébe tartozik, aminek jogszerű keretek között való gyakorlása ugyanakkor bíróság által nem bírálható felül.” </w:t>
      </w:r>
      <w:r w:rsidRPr="00910B50">
        <w:rPr>
          <w:rStyle w:val="Kiemels"/>
          <w:rFonts w:ascii="Century Gothic" w:hAnsi="Century Gothic"/>
        </w:rPr>
        <w:t>(Köf.5.027/2018/4. számú határozat [30] pont)</w:t>
      </w:r>
    </w:p>
    <w:p w:rsidR="00910B50" w:rsidRPr="00910B50" w:rsidRDefault="00910B50" w:rsidP="008228EE">
      <w:pPr>
        <w:numPr>
          <w:ilvl w:val="0"/>
          <w:numId w:val="13"/>
        </w:numPr>
        <w:spacing w:before="100" w:beforeAutospacing="1" w:after="100" w:afterAutospacing="1" w:line="240" w:lineRule="auto"/>
        <w:jc w:val="both"/>
        <w:rPr>
          <w:rFonts w:ascii="Century Gothic" w:hAnsi="Century Gothic"/>
        </w:rPr>
      </w:pPr>
      <w:r w:rsidRPr="00910B50">
        <w:rPr>
          <w:rFonts w:ascii="Century Gothic" w:hAnsi="Century Gothic"/>
        </w:rPr>
        <w:t xml:space="preserve">„Az a körülmény tehát, hogy a képviselő-testületi döntés a helyi önkormányzati gazdasági érdekre figyelemmel van, és ezzel érinti természetesen az adózók teherviselését, külön sérelem híján, nem jogellenes. Sem a Htv. 6. § c) pontja, sem 7. § g) pontja ezt a lehetőséget nem zárják ki. […] A települési önkormányzat képviselő-testülete helyi ügyek körébe tartozó mérlegelése keretében – törvény szabta határok között – szabadon differenciálhat, akár közös szabály általánosságának kiterjesztése (azaz a különbözőkre szóló differenciálás mentesség útján való megállapításának mellőzése) útján is. Az Ör. korábbi mentességi szabályának szűkítése tehát az indítvány által hivatkozott alapokon nem kifogásolható.” </w:t>
      </w:r>
      <w:r w:rsidRPr="00910B50">
        <w:rPr>
          <w:rStyle w:val="Kiemels"/>
          <w:rFonts w:ascii="Century Gothic" w:hAnsi="Century Gothic"/>
        </w:rPr>
        <w:t>(Köf.5.014/2018/4. számú határozat [29]–[31] pont)</w:t>
      </w:r>
    </w:p>
    <w:p w:rsidR="00DF2367" w:rsidRPr="00DF2367" w:rsidRDefault="00910B50" w:rsidP="00DF2367">
      <w:pPr>
        <w:pStyle w:val="NormlWeb"/>
        <w:jc w:val="both"/>
        <w:rPr>
          <w:rFonts w:ascii="Century Gothic" w:hAnsi="Century Gothic"/>
          <w:sz w:val="22"/>
          <w:szCs w:val="22"/>
        </w:rPr>
      </w:pPr>
      <w:r w:rsidRPr="00910B50">
        <w:rPr>
          <w:rFonts w:ascii="Century Gothic" w:hAnsi="Century Gothic"/>
          <w:sz w:val="22"/>
          <w:szCs w:val="22"/>
        </w:rPr>
        <w:t>Az önkormányzatok láthatóan igen komplex feladat előtt állnak, amikor helyi adórendszerük kialakítása, évenkénti finomítása során figyelemmel kell lenniük a Htv. és a kapcsolódó jogszabályok teljes követelményrendszerére. A törvényben megfogalmazott elvek értelmezésében, gyakorlati kibontásában ezért érdemes a Kúria döntéseire támaszkodni, különösen az olyan nehezen megfogható előírások tekintetében, mint pl. a helyi sajátosságoknak megfelelő adómegállapítás vagy az olyan látszólagos ellentmondások esetében, amilyennek pl. a differenciálás követelménye és a diszkrimináció tilalma tűnik.</w:t>
      </w:r>
    </w:p>
    <w:p w:rsidR="00DA6CA7" w:rsidRPr="000C5C9F" w:rsidRDefault="000C5C9F" w:rsidP="00DA6CA7">
      <w:pPr>
        <w:pStyle w:val="Standard"/>
        <w:jc w:val="both"/>
        <w:rPr>
          <w:rFonts w:ascii="Century Gothic" w:hAnsi="Century Gothic"/>
          <w:b/>
          <w:bCs/>
          <w:sz w:val="22"/>
          <w:szCs w:val="22"/>
        </w:rPr>
      </w:pPr>
      <w:r w:rsidRPr="000C5C9F">
        <w:rPr>
          <w:rFonts w:ascii="Century Gothic" w:hAnsi="Century Gothic"/>
          <w:b/>
          <w:bCs/>
          <w:sz w:val="22"/>
          <w:szCs w:val="22"/>
        </w:rPr>
        <w:t xml:space="preserve">Tisztelt </w:t>
      </w:r>
      <w:r w:rsidR="0058100A">
        <w:rPr>
          <w:rFonts w:ascii="Century Gothic" w:hAnsi="Century Gothic"/>
          <w:b/>
          <w:bCs/>
          <w:sz w:val="22"/>
          <w:szCs w:val="22"/>
        </w:rPr>
        <w:t>Bizottság!</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Standard"/>
        <w:jc w:val="both"/>
        <w:rPr>
          <w:rFonts w:ascii="Century Gothic" w:hAnsi="Century Gothic"/>
          <w:sz w:val="22"/>
          <w:szCs w:val="22"/>
        </w:rPr>
      </w:pPr>
      <w:r w:rsidRPr="000C5C9F">
        <w:rPr>
          <w:rFonts w:ascii="Century Gothic" w:hAnsi="Century Gothic"/>
          <w:sz w:val="22"/>
          <w:szCs w:val="22"/>
        </w:rPr>
        <w:t xml:space="preserve">Két évvel ezelőtt – szintén a helyi adókról szóló önkormányzati rendelet felülvizsgálata kapcsán -  </w:t>
      </w:r>
      <w:r w:rsidR="000C5C9F" w:rsidRPr="000C5C9F">
        <w:rPr>
          <w:rFonts w:ascii="Century Gothic" w:hAnsi="Century Gothic"/>
          <w:sz w:val="22"/>
          <w:szCs w:val="22"/>
        </w:rPr>
        <w:t>előterjesztettük azt a javaslatot</w:t>
      </w:r>
      <w:r w:rsidRPr="000C5C9F">
        <w:rPr>
          <w:rFonts w:ascii="Century Gothic" w:hAnsi="Century Gothic"/>
          <w:sz w:val="22"/>
          <w:szCs w:val="22"/>
        </w:rPr>
        <w:t>, hogy azon tulajdonosok, akik egynél több lakó vagy üdülő ingatlannal</w:t>
      </w:r>
      <w:r w:rsidR="0058100A">
        <w:rPr>
          <w:rFonts w:ascii="Century Gothic" w:hAnsi="Century Gothic"/>
          <w:sz w:val="22"/>
          <w:szCs w:val="22"/>
        </w:rPr>
        <w:t xml:space="preserve"> rendelkeznek a községbe(</w:t>
      </w:r>
      <w:r w:rsidR="00C6775D">
        <w:rPr>
          <w:rFonts w:ascii="Century Gothic" w:hAnsi="Century Gothic"/>
          <w:sz w:val="22"/>
          <w:szCs w:val="22"/>
        </w:rPr>
        <w:t xml:space="preserve">megjegyzés: </w:t>
      </w:r>
      <w:r w:rsidRPr="000C5C9F">
        <w:rPr>
          <w:rFonts w:ascii="Century Gothic" w:hAnsi="Century Gothic"/>
          <w:sz w:val="22"/>
          <w:szCs w:val="22"/>
        </w:rPr>
        <w:t xml:space="preserve"> van olyan tulajdonos</w:t>
      </w:r>
      <w:r w:rsidR="000C5C9F" w:rsidRPr="000C5C9F">
        <w:rPr>
          <w:rFonts w:ascii="Century Gothic" w:hAnsi="Century Gothic"/>
          <w:sz w:val="22"/>
          <w:szCs w:val="22"/>
        </w:rPr>
        <w:t>,</w:t>
      </w:r>
      <w:r w:rsidRPr="000C5C9F">
        <w:rPr>
          <w:rFonts w:ascii="Century Gothic" w:hAnsi="Century Gothic"/>
          <w:sz w:val="22"/>
          <w:szCs w:val="22"/>
        </w:rPr>
        <w:t xml:space="preserve"> akinek 4 db lakóháza is van a községben) egy lakás után fizessenek kommunális adót a többi lakás után pedig építmé</w:t>
      </w:r>
      <w:r w:rsidR="000C5C9F" w:rsidRPr="000C5C9F">
        <w:rPr>
          <w:rFonts w:ascii="Century Gothic" w:hAnsi="Century Gothic"/>
          <w:sz w:val="22"/>
          <w:szCs w:val="22"/>
        </w:rPr>
        <w:t>nyadót. A képviselő testület a</w:t>
      </w:r>
      <w:r w:rsidR="00C6775D">
        <w:rPr>
          <w:rFonts w:ascii="Century Gothic" w:hAnsi="Century Gothic"/>
          <w:sz w:val="22"/>
          <w:szCs w:val="22"/>
        </w:rPr>
        <w:t xml:space="preserve">kkor a </w:t>
      </w:r>
      <w:r w:rsidR="000C5C9F" w:rsidRPr="000C5C9F">
        <w:rPr>
          <w:rFonts w:ascii="Century Gothic" w:hAnsi="Century Gothic"/>
          <w:sz w:val="22"/>
          <w:szCs w:val="22"/>
        </w:rPr>
        <w:t xml:space="preserve"> javaslatot</w:t>
      </w:r>
      <w:r w:rsidRPr="000C5C9F">
        <w:rPr>
          <w:rFonts w:ascii="Century Gothic" w:hAnsi="Century Gothic"/>
          <w:sz w:val="22"/>
          <w:szCs w:val="22"/>
        </w:rPr>
        <w:t xml:space="preserve">elutasította. A módosító javaslat elfogadása plusz bevételt generált </w:t>
      </w:r>
      <w:r w:rsidRPr="000C5C9F">
        <w:rPr>
          <w:rFonts w:ascii="Century Gothic" w:hAnsi="Century Gothic"/>
          <w:sz w:val="22"/>
          <w:szCs w:val="22"/>
        </w:rPr>
        <w:lastRenderedPageBreak/>
        <w:t xml:space="preserve">volna. </w:t>
      </w:r>
      <w:r w:rsidR="000C5C9F" w:rsidRPr="000C5C9F">
        <w:rPr>
          <w:rFonts w:ascii="Century Gothic" w:hAnsi="Century Gothic"/>
          <w:sz w:val="22"/>
          <w:szCs w:val="22"/>
        </w:rPr>
        <w:t>(</w:t>
      </w:r>
      <w:r w:rsidRPr="000C5C9F">
        <w:rPr>
          <w:rFonts w:ascii="Century Gothic" w:hAnsi="Century Gothic"/>
          <w:sz w:val="22"/>
          <w:szCs w:val="22"/>
        </w:rPr>
        <w:t xml:space="preserve">Hiszen ha három házam van, akkor is csak egyben tudok életvitelszerűen élni, a többi </w:t>
      </w:r>
      <w:r w:rsidR="000C5C9F" w:rsidRPr="000C5C9F">
        <w:rPr>
          <w:rFonts w:ascii="Century Gothic" w:hAnsi="Century Gothic"/>
          <w:sz w:val="22"/>
          <w:szCs w:val="22"/>
        </w:rPr>
        <w:t xml:space="preserve">nyilván nem az alapvető lakhatást szolgálja.) </w:t>
      </w:r>
    </w:p>
    <w:p w:rsidR="00DA6CA7" w:rsidRDefault="00DA6CA7"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Default="00C6775D" w:rsidP="00DA6CA7">
      <w:pPr>
        <w:pStyle w:val="Standard"/>
        <w:jc w:val="both"/>
        <w:rPr>
          <w:rFonts w:ascii="Century Gothic" w:hAnsi="Century Gothic"/>
          <w:sz w:val="22"/>
          <w:szCs w:val="22"/>
        </w:rPr>
      </w:pPr>
    </w:p>
    <w:p w:rsidR="00C6775D" w:rsidRPr="000C5C9F" w:rsidRDefault="00C6775D" w:rsidP="00DA6CA7">
      <w:pPr>
        <w:pStyle w:val="Standard"/>
        <w:jc w:val="both"/>
        <w:rPr>
          <w:rFonts w:ascii="Century Gothic" w:hAnsi="Century Gothic"/>
          <w:sz w:val="22"/>
          <w:szCs w:val="22"/>
        </w:rPr>
      </w:pPr>
    </w:p>
    <w:p w:rsidR="00DA6CA7" w:rsidRPr="000C5C9F" w:rsidRDefault="00DA6CA7" w:rsidP="00DA6CA7">
      <w:pPr>
        <w:pStyle w:val="Standard"/>
        <w:jc w:val="both"/>
        <w:rPr>
          <w:rFonts w:ascii="Century Gothic" w:hAnsi="Century Gothic"/>
          <w:b/>
          <w:sz w:val="22"/>
          <w:szCs w:val="22"/>
        </w:rPr>
      </w:pPr>
      <w:r w:rsidRPr="000C5C9F">
        <w:rPr>
          <w:rFonts w:ascii="Century Gothic" w:hAnsi="Century Gothic"/>
          <w:b/>
          <w:sz w:val="22"/>
          <w:szCs w:val="22"/>
        </w:rPr>
        <w:t>A m</w:t>
      </w:r>
      <w:r w:rsidR="000C5C9F" w:rsidRPr="000C5C9F">
        <w:rPr>
          <w:rFonts w:ascii="Century Gothic" w:hAnsi="Century Gothic"/>
          <w:b/>
          <w:sz w:val="22"/>
          <w:szCs w:val="22"/>
        </w:rPr>
        <w:t>ódosításra vonatkozó javaslat</w:t>
      </w:r>
      <w:r w:rsidRPr="000C5C9F">
        <w:rPr>
          <w:rFonts w:ascii="Century Gothic" w:hAnsi="Century Gothic"/>
          <w:b/>
          <w:sz w:val="22"/>
          <w:szCs w:val="22"/>
        </w:rPr>
        <w:t>:</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Standard"/>
        <w:jc w:val="both"/>
        <w:rPr>
          <w:rFonts w:ascii="Century Gothic" w:hAnsi="Century Gothic"/>
          <w:b/>
          <w:bCs/>
          <w:sz w:val="22"/>
          <w:szCs w:val="22"/>
        </w:rPr>
      </w:pPr>
      <w:r w:rsidRPr="000C5C9F">
        <w:rPr>
          <w:rFonts w:ascii="Century Gothic" w:hAnsi="Century Gothic"/>
          <w:b/>
          <w:bCs/>
          <w:sz w:val="22"/>
          <w:szCs w:val="22"/>
        </w:rPr>
        <w:t>1. Korrigált forgalmi érték alapú adóztatás:</w:t>
      </w:r>
    </w:p>
    <w:p w:rsidR="00DA6CA7" w:rsidRPr="000C5C9F" w:rsidRDefault="00DA6CA7" w:rsidP="00DA6CA7">
      <w:pPr>
        <w:pStyle w:val="Standard"/>
        <w:jc w:val="both"/>
        <w:rPr>
          <w:rFonts w:ascii="Century Gothic" w:hAnsi="Century Gothic"/>
          <w:b/>
          <w:bCs/>
          <w:sz w:val="22"/>
          <w:szCs w:val="22"/>
        </w:rPr>
      </w:pPr>
    </w:p>
    <w:p w:rsidR="00DA6CA7" w:rsidRPr="000C5C9F" w:rsidRDefault="00DA6CA7" w:rsidP="00DA6CA7">
      <w:pPr>
        <w:pStyle w:val="Standard"/>
        <w:jc w:val="both"/>
        <w:rPr>
          <w:rFonts w:ascii="Century Gothic" w:hAnsi="Century Gothic"/>
          <w:sz w:val="22"/>
          <w:szCs w:val="22"/>
        </w:rPr>
      </w:pPr>
      <w:r w:rsidRPr="000C5C9F">
        <w:rPr>
          <w:rFonts w:ascii="Century Gothic" w:hAnsi="Century Gothic"/>
          <w:sz w:val="22"/>
          <w:szCs w:val="22"/>
        </w:rPr>
        <w:t>A jelenleg hatályos Htv. (Helyi adókról szóló 1990. évi C. tv.) biztosít erre lehetőséget, a kivitelezés bonyolultsága miatt szinte sehol nem alkalmazzák az országban. Minden adótárgyat fel kellene értékeltetni, mely jelentős költséggel és időigényes feladat.</w:t>
      </w:r>
    </w:p>
    <w:p w:rsidR="00DA6CA7" w:rsidRPr="000C5C9F" w:rsidRDefault="00DA6CA7" w:rsidP="00DA6CA7">
      <w:pPr>
        <w:pStyle w:val="Standard"/>
        <w:jc w:val="both"/>
        <w:rPr>
          <w:rFonts w:ascii="Century Gothic" w:hAnsi="Century Gothic"/>
          <w:sz w:val="22"/>
          <w:szCs w:val="22"/>
        </w:rPr>
      </w:pPr>
      <w:r w:rsidRPr="000C5C9F">
        <w:rPr>
          <w:rFonts w:ascii="Century Gothic" w:hAnsi="Century Gothic"/>
          <w:sz w:val="22"/>
          <w:szCs w:val="22"/>
        </w:rPr>
        <w:t>A törvény vonatkozó rendelkezéseit:</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Textbody"/>
        <w:spacing w:after="0"/>
        <w:jc w:val="both"/>
        <w:rPr>
          <w:rFonts w:ascii="Century Gothic" w:hAnsi="Century Gothic"/>
          <w:sz w:val="22"/>
          <w:szCs w:val="22"/>
        </w:rPr>
      </w:pPr>
      <w:bookmarkStart w:id="1" w:name="pr122id"/>
      <w:bookmarkEnd w:id="1"/>
      <w:r w:rsidRPr="000C5C9F">
        <w:rPr>
          <w:rFonts w:ascii="Century Gothic" w:hAnsi="Century Gothic"/>
          <w:b/>
          <w:sz w:val="22"/>
          <w:szCs w:val="22"/>
        </w:rPr>
        <w:t xml:space="preserve">15. § </w:t>
      </w:r>
      <w:r w:rsidRPr="000C5C9F">
        <w:rPr>
          <w:rFonts w:ascii="Century Gothic" w:hAnsi="Century Gothic"/>
          <w:sz w:val="22"/>
          <w:szCs w:val="22"/>
        </w:rPr>
        <w:t>Az adó alapja az önkormányzat döntésétől függően:</w:t>
      </w:r>
    </w:p>
    <w:p w:rsidR="00DA6CA7" w:rsidRPr="000C5C9F" w:rsidRDefault="00DA6CA7" w:rsidP="00DA6CA7">
      <w:pPr>
        <w:pStyle w:val="Textbody"/>
        <w:spacing w:after="0"/>
        <w:ind w:firstLine="240"/>
        <w:rPr>
          <w:rFonts w:ascii="Century Gothic" w:hAnsi="Century Gothic"/>
          <w:sz w:val="22"/>
          <w:szCs w:val="22"/>
        </w:rPr>
      </w:pPr>
      <w:bookmarkStart w:id="2" w:name="pr123id"/>
      <w:bookmarkEnd w:id="2"/>
      <w:r w:rsidRPr="000C5C9F">
        <w:rPr>
          <w:rFonts w:ascii="Century Gothic" w:hAnsi="Century Gothic"/>
          <w:i/>
          <w:sz w:val="22"/>
          <w:szCs w:val="22"/>
        </w:rPr>
        <w:t xml:space="preserve">a) </w:t>
      </w:r>
      <w:r w:rsidRPr="000C5C9F">
        <w:rPr>
          <w:rFonts w:ascii="Century Gothic" w:hAnsi="Century Gothic"/>
          <w:sz w:val="22"/>
          <w:szCs w:val="22"/>
        </w:rPr>
        <w:t>az építmény m2-ben számított hasznos alapterülete, vagy</w:t>
      </w:r>
    </w:p>
    <w:p w:rsidR="00DA6CA7" w:rsidRPr="000C5C9F" w:rsidRDefault="00DA6CA7" w:rsidP="00DA6CA7">
      <w:pPr>
        <w:pStyle w:val="Textbody"/>
        <w:spacing w:after="0"/>
        <w:ind w:firstLine="240"/>
        <w:rPr>
          <w:rFonts w:ascii="Century Gothic" w:hAnsi="Century Gothic"/>
          <w:sz w:val="22"/>
          <w:szCs w:val="22"/>
        </w:rPr>
      </w:pPr>
      <w:bookmarkStart w:id="3" w:name="pr124id"/>
      <w:bookmarkEnd w:id="3"/>
      <w:r w:rsidRPr="000C5C9F">
        <w:rPr>
          <w:rFonts w:ascii="Century Gothic" w:hAnsi="Century Gothic"/>
          <w:b/>
          <w:bCs/>
          <w:i/>
          <w:sz w:val="22"/>
          <w:szCs w:val="22"/>
        </w:rPr>
        <w:t xml:space="preserve">b) </w:t>
      </w:r>
      <w:r w:rsidRPr="000C5C9F">
        <w:rPr>
          <w:rFonts w:ascii="Century Gothic" w:hAnsi="Century Gothic"/>
          <w:b/>
          <w:bCs/>
          <w:sz w:val="22"/>
          <w:szCs w:val="22"/>
        </w:rPr>
        <w:t>az építmény korrigált forgalmi értéke.</w:t>
      </w:r>
    </w:p>
    <w:p w:rsidR="00DA6CA7" w:rsidRPr="000C5C9F" w:rsidRDefault="00DA6CA7" w:rsidP="00DA6CA7">
      <w:pPr>
        <w:pStyle w:val="Textbody"/>
        <w:spacing w:after="0"/>
        <w:jc w:val="both"/>
        <w:rPr>
          <w:rFonts w:ascii="Century Gothic" w:hAnsi="Century Gothic"/>
          <w:sz w:val="22"/>
          <w:szCs w:val="22"/>
        </w:rPr>
      </w:pPr>
      <w:bookmarkStart w:id="4" w:name="pr127id"/>
      <w:bookmarkEnd w:id="4"/>
      <w:r w:rsidRPr="000C5C9F">
        <w:rPr>
          <w:rFonts w:ascii="Century Gothic" w:hAnsi="Century Gothic"/>
          <w:b/>
          <w:sz w:val="22"/>
          <w:szCs w:val="22"/>
        </w:rPr>
        <w:t>16. §</w:t>
      </w:r>
      <w:r w:rsidRPr="000C5C9F">
        <w:rPr>
          <w:rFonts w:ascii="Century Gothic" w:hAnsi="Century Gothic"/>
          <w:sz w:val="22"/>
          <w:szCs w:val="22"/>
        </w:rPr>
        <w:t>Az adó évi mértékének felső határa:</w:t>
      </w:r>
    </w:p>
    <w:p w:rsidR="00DA6CA7" w:rsidRPr="000C5C9F" w:rsidRDefault="00DA6CA7" w:rsidP="00DA6CA7">
      <w:pPr>
        <w:pStyle w:val="Textbody"/>
        <w:spacing w:after="0"/>
        <w:ind w:firstLine="240"/>
        <w:rPr>
          <w:rFonts w:ascii="Century Gothic" w:hAnsi="Century Gothic"/>
          <w:sz w:val="22"/>
          <w:szCs w:val="22"/>
        </w:rPr>
      </w:pPr>
      <w:bookmarkStart w:id="5" w:name="pr128id"/>
      <w:bookmarkEnd w:id="5"/>
      <w:r w:rsidRPr="000C5C9F">
        <w:rPr>
          <w:rFonts w:ascii="Century Gothic" w:hAnsi="Century Gothic"/>
          <w:i/>
          <w:sz w:val="22"/>
          <w:szCs w:val="22"/>
        </w:rPr>
        <w:t xml:space="preserve">a) </w:t>
      </w:r>
      <w:r w:rsidRPr="000C5C9F">
        <w:rPr>
          <w:rFonts w:ascii="Century Gothic" w:hAnsi="Century Gothic"/>
          <w:sz w:val="22"/>
          <w:szCs w:val="22"/>
        </w:rPr>
        <w:t xml:space="preserve">a 15. § </w:t>
      </w:r>
      <w:r w:rsidRPr="000C5C9F">
        <w:rPr>
          <w:rFonts w:ascii="Century Gothic" w:hAnsi="Century Gothic"/>
          <w:i/>
          <w:sz w:val="22"/>
          <w:szCs w:val="22"/>
        </w:rPr>
        <w:t xml:space="preserve">a) </w:t>
      </w:r>
      <w:r w:rsidRPr="000C5C9F">
        <w:rPr>
          <w:rFonts w:ascii="Century Gothic" w:hAnsi="Century Gothic"/>
          <w:sz w:val="22"/>
          <w:szCs w:val="22"/>
        </w:rPr>
        <w:t>pontja szerinti adóalap-megállapításnál 1100 Ft/m2,</w:t>
      </w:r>
    </w:p>
    <w:p w:rsidR="00DA6CA7" w:rsidRPr="000C5C9F" w:rsidRDefault="00DA6CA7" w:rsidP="00DA6CA7">
      <w:pPr>
        <w:pStyle w:val="Textbody"/>
        <w:spacing w:after="0"/>
        <w:ind w:firstLine="240"/>
        <w:rPr>
          <w:rFonts w:ascii="Century Gothic" w:hAnsi="Century Gothic"/>
          <w:sz w:val="22"/>
          <w:szCs w:val="22"/>
        </w:rPr>
      </w:pPr>
      <w:bookmarkStart w:id="6" w:name="pr129id"/>
      <w:bookmarkEnd w:id="6"/>
      <w:r w:rsidRPr="000C5C9F">
        <w:rPr>
          <w:rFonts w:ascii="Century Gothic" w:hAnsi="Century Gothic"/>
          <w:b/>
          <w:bCs/>
          <w:i/>
          <w:sz w:val="22"/>
          <w:szCs w:val="22"/>
        </w:rPr>
        <w:t xml:space="preserve">b) </w:t>
      </w:r>
      <w:r w:rsidRPr="000C5C9F">
        <w:rPr>
          <w:rFonts w:ascii="Century Gothic" w:hAnsi="Century Gothic"/>
          <w:b/>
          <w:bCs/>
          <w:sz w:val="22"/>
          <w:szCs w:val="22"/>
        </w:rPr>
        <w:t xml:space="preserve">a 15. § </w:t>
      </w:r>
      <w:r w:rsidRPr="000C5C9F">
        <w:rPr>
          <w:rFonts w:ascii="Century Gothic" w:hAnsi="Century Gothic"/>
          <w:b/>
          <w:bCs/>
          <w:i/>
          <w:sz w:val="22"/>
          <w:szCs w:val="22"/>
        </w:rPr>
        <w:t xml:space="preserve">b) </w:t>
      </w:r>
      <w:r w:rsidRPr="000C5C9F">
        <w:rPr>
          <w:rFonts w:ascii="Century Gothic" w:hAnsi="Century Gothic"/>
          <w:b/>
          <w:bCs/>
          <w:sz w:val="22"/>
          <w:szCs w:val="22"/>
        </w:rPr>
        <w:t>pontja szerinti adóalap-megállapításnál a korrigált forgalmi érték 3,6%-a.</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Standard"/>
        <w:jc w:val="both"/>
        <w:rPr>
          <w:rFonts w:ascii="Century Gothic" w:hAnsi="Century Gothic"/>
          <w:sz w:val="22"/>
          <w:szCs w:val="22"/>
        </w:rPr>
      </w:pPr>
      <w:r w:rsidRPr="000C5C9F">
        <w:rPr>
          <w:rFonts w:ascii="Century Gothic" w:hAnsi="Century Gothic"/>
          <w:b/>
          <w:bCs/>
          <w:sz w:val="22"/>
          <w:szCs w:val="22"/>
        </w:rPr>
        <w:t>52.§</w:t>
      </w:r>
      <w:r w:rsidRPr="000C5C9F">
        <w:rPr>
          <w:rFonts w:ascii="Century Gothic" w:hAnsi="Century Gothic"/>
          <w:sz w:val="22"/>
          <w:szCs w:val="22"/>
        </w:rPr>
        <w:t xml:space="preserve"> 13. </w:t>
      </w:r>
      <w:r w:rsidRPr="000C5C9F">
        <w:rPr>
          <w:rFonts w:ascii="Century Gothic" w:hAnsi="Century Gothic"/>
          <w:i/>
          <w:sz w:val="22"/>
          <w:szCs w:val="22"/>
        </w:rPr>
        <w:t xml:space="preserve">korrigált forgalmi érték: </w:t>
      </w:r>
      <w:r w:rsidRPr="000C5C9F">
        <w:rPr>
          <w:rFonts w:ascii="Century Gothic" w:hAnsi="Century Gothic"/>
          <w:sz w:val="22"/>
          <w:szCs w:val="22"/>
        </w:rPr>
        <w:t>az illetékekről szóló törvény alkalmazásával megállapított forgalmi érték 50%-a;</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Standard"/>
        <w:jc w:val="both"/>
        <w:rPr>
          <w:rFonts w:ascii="Century Gothic" w:hAnsi="Century Gothic"/>
          <w:b/>
          <w:bCs/>
          <w:sz w:val="22"/>
          <w:szCs w:val="22"/>
        </w:rPr>
      </w:pPr>
      <w:r w:rsidRPr="000C5C9F">
        <w:rPr>
          <w:rFonts w:ascii="Century Gothic" w:hAnsi="Century Gothic"/>
          <w:b/>
          <w:bCs/>
          <w:sz w:val="22"/>
          <w:szCs w:val="22"/>
        </w:rPr>
        <w:t>Az illetékekről szóló 1990. évi XCIII. tv. 102.§ (1) bek. e. pont alapján:</w:t>
      </w:r>
    </w:p>
    <w:p w:rsidR="00DA6CA7" w:rsidRPr="000C5C9F" w:rsidRDefault="00DA6CA7" w:rsidP="00DA6CA7">
      <w:pPr>
        <w:pStyle w:val="Standard"/>
        <w:jc w:val="both"/>
        <w:rPr>
          <w:rFonts w:ascii="Century Gothic" w:hAnsi="Century Gothic"/>
          <w:sz w:val="22"/>
          <w:szCs w:val="22"/>
        </w:rPr>
      </w:pPr>
    </w:p>
    <w:p w:rsidR="00DA6CA7" w:rsidRPr="000C5C9F" w:rsidRDefault="00DA6CA7" w:rsidP="00DA6CA7">
      <w:pPr>
        <w:pStyle w:val="Textbody"/>
        <w:jc w:val="both"/>
        <w:rPr>
          <w:rFonts w:ascii="Century Gothic" w:hAnsi="Century Gothic"/>
          <w:sz w:val="22"/>
          <w:szCs w:val="22"/>
        </w:rPr>
      </w:pPr>
      <w:bookmarkStart w:id="7" w:name="pr1003id"/>
      <w:bookmarkEnd w:id="7"/>
      <w:r w:rsidRPr="000C5C9F">
        <w:rPr>
          <w:rFonts w:ascii="Century Gothic" w:hAnsi="Century Gothic"/>
          <w:i/>
          <w:sz w:val="22"/>
          <w:szCs w:val="22"/>
        </w:rPr>
        <w:t xml:space="preserve">e)forgalmi érték: </w:t>
      </w:r>
      <w:r w:rsidRPr="000C5C9F">
        <w:rPr>
          <w:rFonts w:ascii="Century Gothic" w:hAnsi="Century Gothic"/>
          <w:sz w:val="22"/>
          <w:szCs w:val="22"/>
        </w:rPr>
        <w:t>az a pénzben kifejezett érték, amely a vagyontárgy eladása esetén az illetékkötelezettség keletkezésekor volt állapotában - a vagyontárgyat terhelő adósságok, továbbá az ingatlanon a vagyonszerző javára az elidegenítéskor megszűnő bérleti jog figyelembevétele nélkül - árként általában elérhető, azzal, hogy:</w:t>
      </w:r>
      <w:r w:rsidRPr="000C5C9F">
        <w:rPr>
          <w:rFonts w:ascii="Century Gothic" w:hAnsi="Century Gothic"/>
          <w:i/>
          <w:sz w:val="22"/>
          <w:szCs w:val="22"/>
        </w:rPr>
        <w:t xml:space="preserve">ea) </w:t>
      </w:r>
      <w:r w:rsidRPr="000C5C9F">
        <w:rPr>
          <w:rFonts w:ascii="Century Gothic" w:hAnsi="Century Gothic"/>
          <w:sz w:val="22"/>
          <w:szCs w:val="22"/>
        </w:rPr>
        <w:t>vagyontárgy kiadására vonatkozó követelés esetén a vagyontárgy illetékkötelezettség keletkezésének napján fennálló forgalmi értéke;</w:t>
      </w:r>
    </w:p>
    <w:p w:rsidR="00DA6CA7" w:rsidRPr="000C5C9F" w:rsidRDefault="00DA6CA7" w:rsidP="00DA6CA7">
      <w:pPr>
        <w:pStyle w:val="Textbody"/>
        <w:ind w:firstLine="240"/>
        <w:jc w:val="both"/>
        <w:rPr>
          <w:rFonts w:ascii="Century Gothic" w:hAnsi="Century Gothic"/>
          <w:sz w:val="22"/>
          <w:szCs w:val="22"/>
        </w:rPr>
      </w:pPr>
      <w:r w:rsidRPr="000C5C9F">
        <w:rPr>
          <w:rFonts w:ascii="Century Gothic" w:hAnsi="Century Gothic"/>
          <w:i/>
          <w:sz w:val="22"/>
          <w:szCs w:val="22"/>
        </w:rPr>
        <w:t xml:space="preserve">eb) </w:t>
      </w:r>
      <w:r w:rsidRPr="000C5C9F">
        <w:rPr>
          <w:rFonts w:ascii="Century Gothic" w:hAnsi="Century Gothic"/>
          <w:sz w:val="22"/>
          <w:szCs w:val="22"/>
        </w:rPr>
        <w:t>szolgáltatás nyújtására irányuló követelés esetén a szolgáltatás - független felek közötti ügylet estén irányadó - pénzben kifejezhető értéke,</w:t>
      </w:r>
    </w:p>
    <w:p w:rsidR="00DA6CA7" w:rsidRPr="000C5C9F" w:rsidRDefault="00DA6CA7" w:rsidP="00DA6CA7">
      <w:pPr>
        <w:pStyle w:val="Textbody"/>
        <w:ind w:firstLine="240"/>
        <w:jc w:val="both"/>
        <w:rPr>
          <w:rFonts w:ascii="Century Gothic" w:hAnsi="Century Gothic"/>
          <w:sz w:val="22"/>
          <w:szCs w:val="22"/>
        </w:rPr>
      </w:pPr>
      <w:r w:rsidRPr="000C5C9F">
        <w:rPr>
          <w:rFonts w:ascii="Century Gothic" w:hAnsi="Century Gothic"/>
          <w:i/>
          <w:sz w:val="22"/>
          <w:szCs w:val="22"/>
        </w:rPr>
        <w:t xml:space="preserve">ec) </w:t>
      </w:r>
      <w:r w:rsidRPr="000C5C9F">
        <w:rPr>
          <w:rFonts w:ascii="Century Gothic" w:hAnsi="Century Gothic"/>
          <w:sz w:val="22"/>
          <w:szCs w:val="22"/>
        </w:rPr>
        <w:t xml:space="preserve">tagsági jogviszonyt megtestesítő értékpapír, valamint üzletrész, vagyoni betét esetén az illetékkötelezettség keletkezésének napján érvényes tőzsdei átlagár alapján számított érték. Ennek hiányában annak a gazdasági társaságnak, szövetkezetnek, egyéb jogi személynek - amelyben a vagyonszerző tagsági jogot szerzett - az illetékkötelezettség keletkezésének napján rendelkezésre álló, a gazdasági társaság, szövetkezet, egyéb jogi személy arra feljogosított döntéshozó szerve által elfogadott utolsó számviteli beszámoló mérlegében (ilyen mérleg hiányában az alapításkori nyitó vagyonmérlegében, az illetékkötelezettség keletkezésekor felszámolás alatt álló gazdasági társaság, szövetkezet, egyéb jogi </w:t>
      </w:r>
      <w:r w:rsidRPr="000C5C9F">
        <w:rPr>
          <w:rFonts w:ascii="Century Gothic" w:hAnsi="Century Gothic"/>
          <w:sz w:val="22"/>
          <w:szCs w:val="22"/>
        </w:rPr>
        <w:lastRenderedPageBreak/>
        <w:t>személy esetén a felszámolás kezdő napját megelőző napra elkészített zárómérlegében)szereplő saját tőke mérleg szerinti értékének a megszerzett értékpapírra, üzletrészre, vagyoni betétre jutó hányada,</w:t>
      </w:r>
    </w:p>
    <w:p w:rsidR="00DA6CA7" w:rsidRPr="000C5C9F" w:rsidRDefault="00DA6CA7" w:rsidP="00DA6CA7">
      <w:pPr>
        <w:pStyle w:val="Textbody"/>
        <w:ind w:firstLine="240"/>
        <w:jc w:val="both"/>
        <w:rPr>
          <w:rFonts w:ascii="Century Gothic" w:hAnsi="Century Gothic"/>
          <w:sz w:val="22"/>
          <w:szCs w:val="22"/>
        </w:rPr>
      </w:pPr>
      <w:r w:rsidRPr="000C5C9F">
        <w:rPr>
          <w:rFonts w:ascii="Century Gothic" w:hAnsi="Century Gothic"/>
          <w:i/>
          <w:sz w:val="22"/>
          <w:szCs w:val="22"/>
        </w:rPr>
        <w:t xml:space="preserve">ed) </w:t>
      </w:r>
      <w:r w:rsidRPr="000C5C9F">
        <w:rPr>
          <w:rFonts w:ascii="Century Gothic" w:hAnsi="Century Gothic"/>
          <w:sz w:val="22"/>
          <w:szCs w:val="22"/>
        </w:rPr>
        <w:t xml:space="preserve">a belföldi ingatlanvagyonnal rendelkező társaság esetén a társaság ingatlanvagyonának forgalmi értéke a társaság tulajdonában lévő ingatlanok forgalmi értéke, növelve a társaság közvetett vagy közvetlen 75%-os tulajdonában álló gazdálkodó szervezetek tulajdonában álló ingatlanok forgalmi értékének olyan arányával, mint amekkora arányt az </w:t>
      </w:r>
      <w:r w:rsidRPr="000C5C9F">
        <w:rPr>
          <w:rFonts w:ascii="Century Gothic" w:hAnsi="Century Gothic"/>
          <w:i/>
          <w:sz w:val="22"/>
          <w:szCs w:val="22"/>
        </w:rPr>
        <w:t xml:space="preserve">o) </w:t>
      </w:r>
      <w:r w:rsidRPr="000C5C9F">
        <w:rPr>
          <w:rFonts w:ascii="Century Gothic" w:hAnsi="Century Gothic"/>
          <w:sz w:val="22"/>
          <w:szCs w:val="22"/>
        </w:rPr>
        <w:t>pontban foglaltak alapján a társaság közvetett vagy közvetlen részesedése a gazdálkodó szervezet összes vagyoni betétjéhez képest képvisel;</w:t>
      </w:r>
    </w:p>
    <w:p w:rsidR="00C6775D" w:rsidRDefault="00DA6CA7" w:rsidP="00DA6CA7">
      <w:pPr>
        <w:pStyle w:val="Textbody"/>
        <w:jc w:val="both"/>
        <w:rPr>
          <w:rFonts w:ascii="Century Gothic" w:hAnsi="Century Gothic"/>
          <w:sz w:val="22"/>
          <w:szCs w:val="22"/>
        </w:rPr>
      </w:pPr>
      <w:r w:rsidRPr="000C5C9F">
        <w:rPr>
          <w:rFonts w:ascii="Century Gothic" w:hAnsi="Century Gothic"/>
          <w:b/>
          <w:bCs/>
          <w:sz w:val="22"/>
          <w:szCs w:val="22"/>
        </w:rPr>
        <w:t>A rendeletünkben (és szinte az összes önkormányzat rendeletében) alkalmazott m</w:t>
      </w:r>
      <w:r w:rsidRPr="000C5C9F">
        <w:rPr>
          <w:rFonts w:ascii="Century Gothic" w:hAnsi="Century Gothic"/>
          <w:b/>
          <w:bCs/>
          <w:sz w:val="22"/>
          <w:szCs w:val="22"/>
          <w:vertAlign w:val="superscript"/>
        </w:rPr>
        <w:t>2</w:t>
      </w:r>
      <w:r w:rsidRPr="000C5C9F">
        <w:rPr>
          <w:rFonts w:ascii="Century Gothic" w:hAnsi="Century Gothic"/>
          <w:b/>
          <w:bCs/>
          <w:sz w:val="22"/>
          <w:szCs w:val="22"/>
        </w:rPr>
        <w:t xml:space="preserve"> alapú adóztatás nem igazságos, hiszen az ingatlan nagysága a forgalmi értéknek csak egy összetevője.</w:t>
      </w:r>
      <w:bookmarkStart w:id="8" w:name="_GoBack"/>
      <w:bookmarkEnd w:id="8"/>
    </w:p>
    <w:p w:rsidR="00DA6CA7" w:rsidRPr="000C5C9F" w:rsidRDefault="00C6775D" w:rsidP="00DA6CA7">
      <w:pPr>
        <w:pStyle w:val="Textbody"/>
        <w:jc w:val="both"/>
        <w:rPr>
          <w:rFonts w:ascii="Century Gothic" w:hAnsi="Century Gothic"/>
          <w:sz w:val="22"/>
          <w:szCs w:val="22"/>
        </w:rPr>
      </w:pPr>
      <w:r>
        <w:rPr>
          <w:rFonts w:ascii="Century Gothic" w:hAnsi="Century Gothic"/>
          <w:b/>
          <w:bCs/>
          <w:sz w:val="22"/>
          <w:szCs w:val="22"/>
        </w:rPr>
        <w:t xml:space="preserve">Az az elv sem </w:t>
      </w:r>
      <w:r w:rsidR="00DA6CA7" w:rsidRPr="000C5C9F">
        <w:rPr>
          <w:rFonts w:ascii="Century Gothic" w:hAnsi="Century Gothic"/>
          <w:b/>
          <w:bCs/>
          <w:sz w:val="22"/>
          <w:szCs w:val="22"/>
        </w:rPr>
        <w:t>igazs</w:t>
      </w:r>
      <w:r>
        <w:rPr>
          <w:rFonts w:ascii="Century Gothic" w:hAnsi="Century Gothic"/>
          <w:b/>
          <w:bCs/>
          <w:sz w:val="22"/>
          <w:szCs w:val="22"/>
        </w:rPr>
        <w:t>ágos, vagy vitatható</w:t>
      </w:r>
      <w:r w:rsidR="00DA6CA7" w:rsidRPr="000C5C9F">
        <w:rPr>
          <w:rFonts w:ascii="Century Gothic" w:hAnsi="Century Gothic"/>
          <w:b/>
          <w:bCs/>
          <w:sz w:val="22"/>
          <w:szCs w:val="22"/>
        </w:rPr>
        <w:t>, mely az életvitelszerű lakóhelyre tekintettel tesz megkülönböztetést az adóalanyok között.</w:t>
      </w:r>
    </w:p>
    <w:p w:rsidR="00DA6CA7" w:rsidRPr="000C5C9F" w:rsidRDefault="00DA6CA7" w:rsidP="00DA6CA7">
      <w:pPr>
        <w:pStyle w:val="Textbody"/>
        <w:jc w:val="both"/>
        <w:rPr>
          <w:rFonts w:ascii="Century Gothic" w:hAnsi="Century Gothic"/>
          <w:sz w:val="22"/>
          <w:szCs w:val="22"/>
        </w:rPr>
      </w:pPr>
      <w:r w:rsidRPr="000C5C9F">
        <w:rPr>
          <w:rFonts w:ascii="Century Gothic" w:hAnsi="Century Gothic"/>
          <w:sz w:val="22"/>
          <w:szCs w:val="22"/>
        </w:rPr>
        <w:t>Gondoljuk csak meg, hogy a Balatonberényben élők fizetnek kedvezményes adót, pedig Ők használják a legtöbbet a falu útjait, járdáit. Az életvitelszerűen Balatonberényben élő lakóház tulajdonos</w:t>
      </w:r>
      <w:r w:rsidR="00F81313" w:rsidRPr="000C5C9F">
        <w:rPr>
          <w:rFonts w:ascii="Century Gothic" w:hAnsi="Century Gothic"/>
          <w:sz w:val="22"/>
          <w:szCs w:val="22"/>
        </w:rPr>
        <w:t xml:space="preserve">a az alapterülettől függetlenül </w:t>
      </w:r>
      <w:r w:rsidRPr="000C5C9F">
        <w:rPr>
          <w:rFonts w:ascii="Century Gothic" w:hAnsi="Century Gothic"/>
          <w:sz w:val="22"/>
          <w:szCs w:val="22"/>
        </w:rPr>
        <w:t xml:space="preserve"> 14.000 Ft/év kommunális</w:t>
      </w:r>
      <w:r w:rsidR="00F81313" w:rsidRPr="000C5C9F">
        <w:rPr>
          <w:rFonts w:ascii="Century Gothic" w:hAnsi="Century Gothic"/>
          <w:sz w:val="22"/>
          <w:szCs w:val="22"/>
        </w:rPr>
        <w:t xml:space="preserve"> adót fiz</w:t>
      </w:r>
      <w:r w:rsidR="000C5C9F">
        <w:rPr>
          <w:rFonts w:ascii="Century Gothic" w:hAnsi="Century Gothic"/>
          <w:sz w:val="22"/>
          <w:szCs w:val="22"/>
        </w:rPr>
        <w:t>e</w:t>
      </w:r>
      <w:r w:rsidR="00F81313" w:rsidRPr="000C5C9F">
        <w:rPr>
          <w:rFonts w:ascii="Century Gothic" w:hAnsi="Century Gothic"/>
          <w:sz w:val="22"/>
          <w:szCs w:val="22"/>
        </w:rPr>
        <w:t>t</w:t>
      </w:r>
      <w:r w:rsidRPr="000C5C9F">
        <w:rPr>
          <w:rFonts w:ascii="Century Gothic" w:hAnsi="Century Gothic"/>
          <w:sz w:val="22"/>
          <w:szCs w:val="22"/>
        </w:rPr>
        <w:t xml:space="preserve">, a 100 m2-es hétvégi ház tulajdonos 45.000 Ft/év építményadót fizet. </w:t>
      </w:r>
    </w:p>
    <w:p w:rsidR="000C5C9F" w:rsidRDefault="00DA6CA7" w:rsidP="000C5C9F">
      <w:pPr>
        <w:pStyle w:val="Textbody"/>
        <w:jc w:val="both"/>
        <w:rPr>
          <w:rFonts w:ascii="Century Gothic" w:hAnsi="Century Gothic"/>
          <w:b/>
          <w:bCs/>
          <w:sz w:val="22"/>
          <w:szCs w:val="22"/>
        </w:rPr>
      </w:pPr>
      <w:r w:rsidRPr="000C5C9F">
        <w:rPr>
          <w:rFonts w:ascii="Century Gothic" w:hAnsi="Century Gothic"/>
          <w:sz w:val="22"/>
          <w:szCs w:val="22"/>
        </w:rPr>
        <w:t>Emlékezzünk vissza a nem Magyarországon élő tulajdonosok esetére. Nem tudtuk indokolni, hogy miért kell nekik kétszer annyi építményadót fizetni, így módosí</w:t>
      </w:r>
      <w:r w:rsidR="000C5C9F">
        <w:rPr>
          <w:rFonts w:ascii="Century Gothic" w:hAnsi="Century Gothic"/>
          <w:sz w:val="22"/>
          <w:szCs w:val="22"/>
        </w:rPr>
        <w:t>tanunk is kellett a rendeletet.</w:t>
      </w:r>
    </w:p>
    <w:p w:rsidR="000C5C9F" w:rsidRPr="000C5C9F" w:rsidRDefault="000C5C9F" w:rsidP="000C5C9F">
      <w:pPr>
        <w:pStyle w:val="Textbody"/>
        <w:jc w:val="both"/>
        <w:rPr>
          <w:rFonts w:ascii="Century Gothic" w:hAnsi="Century Gothic"/>
          <w:b/>
          <w:bCs/>
          <w:sz w:val="22"/>
          <w:szCs w:val="22"/>
        </w:rPr>
      </w:pPr>
      <w:r w:rsidRPr="000C5C9F">
        <w:rPr>
          <w:rFonts w:ascii="Century Gothic" w:hAnsi="Century Gothic"/>
          <w:b/>
          <w:bCs/>
          <w:sz w:val="22"/>
          <w:szCs w:val="22"/>
        </w:rPr>
        <w:t>2. Tekintettel arra, hogy az építményadó ellenőrzéséhez a személyi feltételek nem biztosítottak, a forgalmi érték alapú adózt</w:t>
      </w:r>
      <w:r w:rsidR="00C6775D">
        <w:rPr>
          <w:rFonts w:ascii="Century Gothic" w:hAnsi="Century Gothic"/>
          <w:b/>
          <w:bCs/>
          <w:sz w:val="22"/>
          <w:szCs w:val="22"/>
        </w:rPr>
        <w:t>atás kiforratlan és bonyolult, ezért az</w:t>
      </w:r>
      <w:r w:rsidRPr="000C5C9F">
        <w:rPr>
          <w:rFonts w:ascii="Century Gothic" w:hAnsi="Century Gothic"/>
          <w:b/>
          <w:bCs/>
          <w:sz w:val="22"/>
          <w:szCs w:val="22"/>
        </w:rPr>
        <w:t xml:space="preserve"> egységes magánszemély kommunális adójának bevezetését is elképzelhetőne</w:t>
      </w:r>
      <w:r w:rsidR="00C6775D">
        <w:rPr>
          <w:rFonts w:ascii="Century Gothic" w:hAnsi="Century Gothic"/>
          <w:b/>
          <w:bCs/>
          <w:sz w:val="22"/>
          <w:szCs w:val="22"/>
        </w:rPr>
        <w:t>k tartjuk</w:t>
      </w:r>
      <w:r w:rsidRPr="000C5C9F">
        <w:rPr>
          <w:rFonts w:ascii="Century Gothic" w:hAnsi="Century Gothic"/>
          <w:b/>
          <w:bCs/>
          <w:sz w:val="22"/>
          <w:szCs w:val="22"/>
        </w:rPr>
        <w:t xml:space="preserve"> a magánszemélyek tulajdonában álló lakóházakra, hétvégi házakra, beépítetlen területekre.</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A magánszemély kommunális adó maximális mértéke jelenleg: 31.187 Ft/adótárgy lehet.</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Beépített ingatlanok esetében a magánszemélyek kommunális adója kivethető külön a telekre és külön az épületre is.</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Alkalmazásával kiküszöbölhető például a telekadóra vonatkozó törvényi mentesség. (Jelenleg Balatonberényben a vasúttól délre eső területen 10-15 MFt körül van egy építési telek ára. Ha a tulajdonos pár gyümölcsfával beülteti a telket és a falugazdász igazolja a mezőgazdasági művelést, a telekre adómentességet kell adnunk.)</w:t>
      </w:r>
    </w:p>
    <w:p w:rsidR="00C6775D" w:rsidRDefault="000C5C9F" w:rsidP="000C5C9F">
      <w:pPr>
        <w:pStyle w:val="Textbody"/>
        <w:jc w:val="both"/>
        <w:rPr>
          <w:rFonts w:ascii="Century Gothic" w:hAnsi="Century Gothic"/>
          <w:sz w:val="22"/>
          <w:szCs w:val="22"/>
        </w:rPr>
      </w:pPr>
      <w:r w:rsidRPr="000C5C9F">
        <w:rPr>
          <w:rFonts w:ascii="Century Gothic" w:hAnsi="Century Gothic"/>
          <w:sz w:val="22"/>
          <w:szCs w:val="22"/>
        </w:rPr>
        <w:t>A községben életvitelszerűen élő és nem élő tulaj</w:t>
      </w:r>
      <w:r w:rsidR="00C6775D">
        <w:rPr>
          <w:rFonts w:ascii="Century Gothic" w:hAnsi="Century Gothic"/>
          <w:sz w:val="22"/>
          <w:szCs w:val="22"/>
        </w:rPr>
        <w:t xml:space="preserve">donosok közötti különbségtétel helyi adópolitikai kérdés. </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A magánszemélyek és nem magánszemélyek tulajdonában álló egyéb épületekre (üzletek, éttermek, zártkerti épületek, stb.) maradna az építményadó.</w:t>
      </w:r>
    </w:p>
    <w:p w:rsidR="000C5C9F" w:rsidRPr="000C5C9F" w:rsidRDefault="000C5C9F" w:rsidP="000C5C9F">
      <w:pPr>
        <w:pStyle w:val="Textbody"/>
        <w:jc w:val="both"/>
        <w:rPr>
          <w:rFonts w:ascii="Century Gothic" w:hAnsi="Century Gothic"/>
          <w:b/>
          <w:bCs/>
          <w:sz w:val="22"/>
          <w:szCs w:val="22"/>
        </w:rPr>
      </w:pPr>
      <w:r w:rsidRPr="000C5C9F">
        <w:rPr>
          <w:rFonts w:ascii="Century Gothic" w:hAnsi="Century Gothic"/>
          <w:b/>
          <w:bCs/>
          <w:sz w:val="22"/>
          <w:szCs w:val="22"/>
        </w:rPr>
        <w:t>3. Lehet a m2 alapú építmény és telekadó forgalmi értékhez közelítő átalakításán is gondolkodni.</w:t>
      </w:r>
    </w:p>
    <w:p w:rsidR="000C5C9F" w:rsidRPr="000C5C9F" w:rsidRDefault="00C6775D" w:rsidP="000C5C9F">
      <w:pPr>
        <w:pStyle w:val="Textbody"/>
        <w:jc w:val="both"/>
        <w:rPr>
          <w:rFonts w:ascii="Century Gothic" w:hAnsi="Century Gothic"/>
          <w:sz w:val="22"/>
          <w:szCs w:val="22"/>
        </w:rPr>
      </w:pPr>
      <w:r>
        <w:rPr>
          <w:rFonts w:ascii="Century Gothic" w:hAnsi="Century Gothic"/>
          <w:sz w:val="22"/>
          <w:szCs w:val="22"/>
        </w:rPr>
        <w:t xml:space="preserve">Például, </w:t>
      </w:r>
      <w:r w:rsidR="000C5C9F" w:rsidRPr="000C5C9F">
        <w:rPr>
          <w:rFonts w:ascii="Century Gothic" w:hAnsi="Century Gothic"/>
          <w:sz w:val="22"/>
          <w:szCs w:val="22"/>
        </w:rPr>
        <w:t xml:space="preserve">ha a tulajdonos az épület korszerűsítését elvégezte (hőszigetelt, nyílászárót cserélt, fűtést korszerűsített vagy az épület mondjuk 20 évnél nem régebbi) és ezáltal </w:t>
      </w:r>
      <w:r w:rsidR="000C5C9F" w:rsidRPr="000C5C9F">
        <w:rPr>
          <w:rFonts w:ascii="Century Gothic" w:hAnsi="Century Gothic"/>
          <w:sz w:val="22"/>
          <w:szCs w:val="22"/>
        </w:rPr>
        <w:lastRenderedPageBreak/>
        <w:t>a forgalmi érték emelkedett, magasabb adót fizet. Telek esetében a községen belüli elhelyezkedés és teleknagyság lehetne az adó mértékének alapja.</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Ehhez folyamatos ellenőrzésnek kell párosulnia, amihez a humánerőforrás is szükséges? A korszerűsítést nem biztos, hogy bejelentik. (Ha bejelenti, akkor a következő évtől terheli a magasabb adó fizetési kötelezettség. Azért jelentse be, hogy több adót fizethessen ?)</w:t>
      </w:r>
    </w:p>
    <w:p w:rsidR="000C5C9F" w:rsidRPr="000C5C9F" w:rsidRDefault="000C5C9F" w:rsidP="000C5C9F">
      <w:pPr>
        <w:pStyle w:val="Textbody"/>
        <w:jc w:val="both"/>
        <w:rPr>
          <w:rFonts w:ascii="Century Gothic" w:hAnsi="Century Gothic"/>
          <w:sz w:val="22"/>
          <w:szCs w:val="22"/>
        </w:rPr>
      </w:pPr>
      <w:r w:rsidRPr="000C5C9F">
        <w:rPr>
          <w:rFonts w:ascii="Century Gothic" w:hAnsi="Century Gothic"/>
          <w:sz w:val="22"/>
          <w:szCs w:val="22"/>
        </w:rPr>
        <w:t>Ebben az esetben valamennyi adóalanytól új adatbejelentést kell bekérni az adó megállapítása végett. Jelenleg ilyen adatokkal nem rendelkezünk.</w:t>
      </w:r>
    </w:p>
    <w:p w:rsidR="000C5C9F" w:rsidRPr="000C5C9F" w:rsidRDefault="00F60761" w:rsidP="000C5C9F">
      <w:pPr>
        <w:pStyle w:val="Textbody"/>
        <w:jc w:val="both"/>
        <w:rPr>
          <w:rFonts w:ascii="Century Gothic" w:hAnsi="Century Gothic"/>
          <w:b/>
          <w:bCs/>
          <w:sz w:val="22"/>
          <w:szCs w:val="22"/>
        </w:rPr>
      </w:pPr>
      <w:r>
        <w:rPr>
          <w:rFonts w:ascii="Century Gothic" w:hAnsi="Century Gothic"/>
          <w:b/>
          <w:bCs/>
          <w:sz w:val="22"/>
          <w:szCs w:val="22"/>
        </w:rPr>
        <w:t>4. Alapelveiben maradna a jelenlegi szabályozás, és a bevétel</w:t>
      </w:r>
      <w:r w:rsidR="000C5C9F" w:rsidRPr="000C5C9F">
        <w:rPr>
          <w:rFonts w:ascii="Century Gothic" w:hAnsi="Century Gothic"/>
          <w:b/>
          <w:bCs/>
          <w:sz w:val="22"/>
          <w:szCs w:val="22"/>
        </w:rPr>
        <w:t>növekedés igényében meghatározzuk a %-os emelés mértékét.</w:t>
      </w:r>
    </w:p>
    <w:p w:rsidR="000C5C9F" w:rsidRPr="000C5C9F" w:rsidRDefault="00F60761" w:rsidP="000C5C9F">
      <w:pPr>
        <w:pStyle w:val="Textbody"/>
        <w:jc w:val="both"/>
        <w:rPr>
          <w:rFonts w:ascii="Century Gothic" w:hAnsi="Century Gothic"/>
          <w:bCs/>
          <w:iCs/>
          <w:sz w:val="22"/>
          <w:szCs w:val="22"/>
        </w:rPr>
      </w:pPr>
      <w:r>
        <w:rPr>
          <w:rFonts w:ascii="Century Gothic" w:hAnsi="Century Gothic"/>
          <w:bCs/>
          <w:iCs/>
          <w:sz w:val="22"/>
          <w:szCs w:val="22"/>
        </w:rPr>
        <w:t xml:space="preserve">A fentiekben vázoltak tükrében ez a megoldás kivitelezhetőbb </w:t>
      </w:r>
      <w:r w:rsidR="00CD5D7B">
        <w:rPr>
          <w:rFonts w:ascii="Century Gothic" w:hAnsi="Century Gothic"/>
          <w:bCs/>
          <w:iCs/>
          <w:sz w:val="22"/>
          <w:szCs w:val="22"/>
        </w:rPr>
        <w:t xml:space="preserve">időben is, </w:t>
      </w:r>
      <w:r w:rsidR="000C5C9F" w:rsidRPr="000C5C9F">
        <w:rPr>
          <w:rFonts w:ascii="Century Gothic" w:hAnsi="Century Gothic"/>
          <w:bCs/>
          <w:iCs/>
          <w:sz w:val="22"/>
          <w:szCs w:val="22"/>
        </w:rPr>
        <w:t>mert így nem kell új adatbejelentéseket bekérni az adózóktól. (Az adatbejelentés benyújtásához a legtöbb adóalanynak segítségre van szüksége és időben kitolódik az adókivetés folyamata. Van</w:t>
      </w:r>
      <w:r>
        <w:rPr>
          <w:rFonts w:ascii="Century Gothic" w:hAnsi="Century Gothic"/>
          <w:bCs/>
          <w:iCs/>
          <w:sz w:val="22"/>
          <w:szCs w:val="22"/>
        </w:rPr>
        <w:t>,</w:t>
      </w:r>
      <w:r w:rsidR="000C5C9F" w:rsidRPr="000C5C9F">
        <w:rPr>
          <w:rFonts w:ascii="Century Gothic" w:hAnsi="Century Gothic"/>
          <w:bCs/>
          <w:iCs/>
          <w:sz w:val="22"/>
          <w:szCs w:val="22"/>
        </w:rPr>
        <w:t xml:space="preserve"> aki benyújthatja papír alapon, van akinek elektronikusan kell.)</w:t>
      </w:r>
    </w:p>
    <w:p w:rsidR="0032507B" w:rsidRDefault="0032507B" w:rsidP="000C5C9F">
      <w:pPr>
        <w:pStyle w:val="Textbody"/>
        <w:jc w:val="both"/>
        <w:rPr>
          <w:rFonts w:ascii="Century Gothic" w:hAnsi="Century Gothic"/>
          <w:bCs/>
          <w:iCs/>
          <w:sz w:val="22"/>
          <w:szCs w:val="22"/>
        </w:rPr>
      </w:pPr>
      <w:r>
        <w:rPr>
          <w:rFonts w:ascii="Century Gothic" w:hAnsi="Century Gothic"/>
          <w:bCs/>
          <w:iCs/>
          <w:sz w:val="22"/>
          <w:szCs w:val="22"/>
        </w:rPr>
        <w:t>Javaslatunk az elvek kialakítása kapcsán:</w:t>
      </w:r>
    </w:p>
    <w:p w:rsidR="000C5C9F" w:rsidRPr="000C5C9F" w:rsidRDefault="000C5C9F" w:rsidP="000C5C9F">
      <w:pPr>
        <w:pStyle w:val="Textbody"/>
        <w:jc w:val="both"/>
        <w:rPr>
          <w:rFonts w:ascii="Century Gothic" w:hAnsi="Century Gothic"/>
          <w:bCs/>
          <w:iCs/>
          <w:sz w:val="22"/>
          <w:szCs w:val="22"/>
        </w:rPr>
      </w:pPr>
      <w:r w:rsidRPr="000C5C9F">
        <w:rPr>
          <w:rFonts w:ascii="Century Gothic" w:hAnsi="Century Gothic"/>
          <w:bCs/>
          <w:iCs/>
          <w:sz w:val="22"/>
          <w:szCs w:val="22"/>
        </w:rPr>
        <w:t>a) Az egy épület után fizetendő magánszemély kommunális adója minél inkább közelítsen az egy épület után fizetendő építményadóhoz.</w:t>
      </w:r>
    </w:p>
    <w:p w:rsidR="000C5C9F" w:rsidRPr="000C5C9F" w:rsidRDefault="000C5C9F" w:rsidP="000C5C9F">
      <w:pPr>
        <w:pStyle w:val="Textbody"/>
        <w:jc w:val="both"/>
        <w:rPr>
          <w:rFonts w:ascii="Century Gothic" w:hAnsi="Century Gothic"/>
          <w:bCs/>
          <w:iCs/>
          <w:sz w:val="22"/>
          <w:szCs w:val="22"/>
        </w:rPr>
      </w:pPr>
      <w:r w:rsidRPr="000C5C9F">
        <w:rPr>
          <w:rFonts w:ascii="Century Gothic" w:hAnsi="Century Gothic"/>
          <w:bCs/>
          <w:iCs/>
          <w:sz w:val="22"/>
          <w:szCs w:val="22"/>
        </w:rPr>
        <w:t>b) A fizetendő adó mennyisége minél inkább igazodjon az adótárgy értékéhez és ne ahhoz, hogy az adó alanya hol él. Ennek függvényében a község nagyobb forgalmi értékű területein magasabb adómértékeket kell alkalmazni mindhárom adónem tekintetében. (építmény, telek, magánszemély kommunális adó)</w:t>
      </w:r>
    </w:p>
    <w:p w:rsidR="00DA6CA7" w:rsidRDefault="00DA6CA7" w:rsidP="00DA6CA7">
      <w:pPr>
        <w:pStyle w:val="Textbody"/>
        <w:jc w:val="both"/>
        <w:rPr>
          <w:rFonts w:ascii="Century Gothic" w:hAnsi="Century Gothic"/>
          <w:sz w:val="22"/>
          <w:szCs w:val="22"/>
        </w:rPr>
      </w:pPr>
    </w:p>
    <w:p w:rsidR="009660A5" w:rsidRPr="000C5C9F" w:rsidRDefault="009660A5" w:rsidP="009660A5">
      <w:pPr>
        <w:pStyle w:val="Textbody"/>
        <w:jc w:val="both"/>
        <w:rPr>
          <w:rFonts w:ascii="Century Gothic" w:hAnsi="Century Gothic"/>
          <w:bCs/>
          <w:iCs/>
          <w:sz w:val="22"/>
          <w:szCs w:val="22"/>
        </w:rPr>
      </w:pPr>
      <w:r w:rsidRPr="000C5C9F">
        <w:rPr>
          <w:rFonts w:ascii="Century Gothic" w:hAnsi="Century Gothic"/>
          <w:bCs/>
          <w:iCs/>
          <w:sz w:val="22"/>
          <w:szCs w:val="22"/>
        </w:rPr>
        <w:t>Nagyobb forgalmi értékű területek:</w:t>
      </w:r>
    </w:p>
    <w:p w:rsidR="009660A5" w:rsidRPr="000C5C9F" w:rsidRDefault="009660A5" w:rsidP="009660A5">
      <w:pPr>
        <w:pStyle w:val="Textbody"/>
        <w:jc w:val="both"/>
        <w:rPr>
          <w:rFonts w:ascii="Century Gothic" w:hAnsi="Century Gothic"/>
          <w:bCs/>
          <w:iCs/>
          <w:sz w:val="22"/>
          <w:szCs w:val="22"/>
        </w:rPr>
      </w:pPr>
      <w:r w:rsidRPr="000C5C9F">
        <w:rPr>
          <w:rFonts w:ascii="Century Gothic" w:hAnsi="Century Gothic"/>
          <w:bCs/>
          <w:iCs/>
          <w:sz w:val="22"/>
          <w:szCs w:val="22"/>
        </w:rPr>
        <w:t>- közvetlenül a Balatonnal érintkező ingatlanok,</w:t>
      </w:r>
    </w:p>
    <w:p w:rsidR="009660A5" w:rsidRPr="000C5C9F" w:rsidRDefault="009660A5" w:rsidP="009660A5">
      <w:pPr>
        <w:pStyle w:val="Textbody"/>
        <w:jc w:val="both"/>
        <w:rPr>
          <w:rFonts w:ascii="Century Gothic" w:hAnsi="Century Gothic"/>
          <w:bCs/>
          <w:iCs/>
          <w:sz w:val="22"/>
          <w:szCs w:val="22"/>
        </w:rPr>
      </w:pPr>
      <w:r w:rsidRPr="000C5C9F">
        <w:rPr>
          <w:rFonts w:ascii="Century Gothic" w:hAnsi="Century Gothic"/>
          <w:bCs/>
          <w:iCs/>
          <w:sz w:val="22"/>
          <w:szCs w:val="22"/>
        </w:rPr>
        <w:t>- Balatontól maximum ... méter távolságra lévő ingatlanok,</w:t>
      </w:r>
    </w:p>
    <w:p w:rsidR="009660A5" w:rsidRPr="000C5C9F" w:rsidRDefault="009660A5" w:rsidP="009660A5">
      <w:pPr>
        <w:pStyle w:val="Textbody"/>
        <w:jc w:val="both"/>
        <w:rPr>
          <w:rFonts w:ascii="Century Gothic" w:hAnsi="Century Gothic"/>
          <w:bCs/>
          <w:iCs/>
          <w:sz w:val="22"/>
          <w:szCs w:val="22"/>
        </w:rPr>
      </w:pPr>
      <w:r w:rsidRPr="000C5C9F">
        <w:rPr>
          <w:rFonts w:ascii="Century Gothic" w:hAnsi="Century Gothic"/>
          <w:bCs/>
          <w:iCs/>
          <w:sz w:val="22"/>
          <w:szCs w:val="22"/>
        </w:rPr>
        <w:t>- … évnél nem régebben épült vagy felújított-korszerűsített épületek,</w:t>
      </w:r>
    </w:p>
    <w:p w:rsidR="009660A5" w:rsidRDefault="009660A5" w:rsidP="00DA6CA7">
      <w:pPr>
        <w:pStyle w:val="Textbody"/>
        <w:jc w:val="both"/>
        <w:rPr>
          <w:rFonts w:ascii="Century Gothic" w:hAnsi="Century Gothic"/>
          <w:sz w:val="22"/>
          <w:szCs w:val="22"/>
        </w:rPr>
      </w:pPr>
    </w:p>
    <w:p w:rsidR="009660A5" w:rsidRPr="000C5C9F" w:rsidRDefault="009660A5" w:rsidP="009660A5">
      <w:pPr>
        <w:pStyle w:val="Textbody"/>
        <w:jc w:val="both"/>
        <w:rPr>
          <w:rFonts w:ascii="Century Gothic" w:hAnsi="Century Gothic"/>
          <w:b/>
          <w:bCs/>
          <w:sz w:val="22"/>
          <w:szCs w:val="22"/>
        </w:rPr>
      </w:pPr>
      <w:r w:rsidRPr="000C5C9F">
        <w:rPr>
          <w:rFonts w:ascii="Century Gothic" w:hAnsi="Century Gothic"/>
          <w:b/>
          <w:bCs/>
          <w:sz w:val="22"/>
          <w:szCs w:val="22"/>
        </w:rPr>
        <w:t>Az egy</w:t>
      </w:r>
      <w:r>
        <w:rPr>
          <w:rFonts w:ascii="Century Gothic" w:hAnsi="Century Gothic"/>
          <w:b/>
          <w:bCs/>
          <w:sz w:val="22"/>
          <w:szCs w:val="22"/>
        </w:rPr>
        <w:t>séges építményadó bevezetése esetén:</w:t>
      </w:r>
    </w:p>
    <w:p w:rsidR="009660A5" w:rsidRPr="004F3070" w:rsidRDefault="009660A5" w:rsidP="009660A5">
      <w:pPr>
        <w:pStyle w:val="Textbody"/>
        <w:numPr>
          <w:ilvl w:val="0"/>
          <w:numId w:val="14"/>
        </w:numPr>
        <w:ind w:left="0" w:firstLine="0"/>
        <w:jc w:val="both"/>
        <w:rPr>
          <w:rFonts w:ascii="Century Gothic" w:hAnsi="Century Gothic"/>
          <w:bCs/>
          <w:sz w:val="22"/>
          <w:szCs w:val="22"/>
        </w:rPr>
      </w:pPr>
      <w:r w:rsidRPr="004F3070">
        <w:rPr>
          <w:rFonts w:ascii="Century Gothic" w:hAnsi="Century Gothic"/>
          <w:bCs/>
          <w:sz w:val="22"/>
          <w:szCs w:val="22"/>
        </w:rPr>
        <w:t>A jelenleg magánszemélyek kommunális adóját fizető ingatlantulajdonosok építményadó adatbejelentés benyújtására lesznek kötelezettek,</w:t>
      </w:r>
    </w:p>
    <w:p w:rsidR="009660A5" w:rsidRPr="004F3070" w:rsidRDefault="009660A5" w:rsidP="009660A5">
      <w:pPr>
        <w:pStyle w:val="Textbody"/>
        <w:numPr>
          <w:ilvl w:val="0"/>
          <w:numId w:val="14"/>
        </w:numPr>
        <w:ind w:left="0" w:firstLine="0"/>
        <w:jc w:val="both"/>
        <w:rPr>
          <w:rFonts w:ascii="Century Gothic" w:hAnsi="Century Gothic"/>
          <w:bCs/>
          <w:sz w:val="22"/>
          <w:szCs w:val="22"/>
        </w:rPr>
      </w:pPr>
      <w:r w:rsidRPr="004F3070">
        <w:rPr>
          <w:rFonts w:ascii="Century Gothic" w:hAnsi="Century Gothic"/>
          <w:bCs/>
          <w:sz w:val="22"/>
          <w:szCs w:val="22"/>
        </w:rPr>
        <w:t>Az adatbejelentések benyújtása, ellenőrzése, feldolgozása minimum egy éves folyamat, ezért 2023.01.01-től lehetne alkalmazni !</w:t>
      </w:r>
    </w:p>
    <w:p w:rsidR="004F3070" w:rsidRPr="004F3070" w:rsidRDefault="004F3070" w:rsidP="009660A5">
      <w:pPr>
        <w:pStyle w:val="Textbody"/>
        <w:numPr>
          <w:ilvl w:val="0"/>
          <w:numId w:val="14"/>
        </w:numPr>
        <w:ind w:left="0" w:firstLine="0"/>
        <w:jc w:val="both"/>
        <w:rPr>
          <w:rFonts w:ascii="Century Gothic" w:hAnsi="Century Gothic"/>
          <w:bCs/>
          <w:sz w:val="22"/>
          <w:szCs w:val="22"/>
        </w:rPr>
      </w:pPr>
      <w:r w:rsidRPr="004F3070">
        <w:rPr>
          <w:rFonts w:ascii="Century Gothic" w:hAnsi="Century Gothic"/>
          <w:bCs/>
          <w:sz w:val="22"/>
          <w:szCs w:val="22"/>
        </w:rPr>
        <w:t>Költségvonzata (postaköltség, nyomtatás, nyomtatvány)  mintegy 1,5 millió Ft.</w:t>
      </w:r>
    </w:p>
    <w:p w:rsidR="004F3070" w:rsidRDefault="004F3070" w:rsidP="004F3070">
      <w:pPr>
        <w:pStyle w:val="Textbody"/>
        <w:jc w:val="both"/>
        <w:rPr>
          <w:rFonts w:ascii="Century Gothic" w:hAnsi="Century Gothic"/>
          <w:b/>
          <w:bCs/>
          <w:sz w:val="22"/>
          <w:szCs w:val="22"/>
        </w:rPr>
      </w:pPr>
    </w:p>
    <w:p w:rsidR="004F3070" w:rsidRDefault="004F3070" w:rsidP="004F3070">
      <w:pPr>
        <w:pStyle w:val="Textbody"/>
        <w:jc w:val="both"/>
        <w:rPr>
          <w:rFonts w:ascii="Century Gothic" w:hAnsi="Century Gothic"/>
          <w:b/>
          <w:bCs/>
          <w:sz w:val="22"/>
          <w:szCs w:val="22"/>
        </w:rPr>
      </w:pPr>
    </w:p>
    <w:p w:rsidR="004F3070" w:rsidRDefault="004F3070" w:rsidP="004F3070">
      <w:pPr>
        <w:pStyle w:val="Textbody"/>
        <w:jc w:val="both"/>
        <w:rPr>
          <w:rFonts w:ascii="Century Gothic" w:hAnsi="Century Gothic"/>
          <w:b/>
          <w:bCs/>
          <w:sz w:val="22"/>
          <w:szCs w:val="22"/>
        </w:rPr>
      </w:pPr>
      <w:r>
        <w:rPr>
          <w:rFonts w:ascii="Century Gothic" w:hAnsi="Century Gothic"/>
          <w:b/>
          <w:bCs/>
          <w:sz w:val="22"/>
          <w:szCs w:val="22"/>
        </w:rPr>
        <w:t>Balatonberény, 2021. 08. 17.</w:t>
      </w:r>
    </w:p>
    <w:p w:rsidR="004F3070" w:rsidRDefault="004F3070" w:rsidP="004F3070">
      <w:pPr>
        <w:pStyle w:val="Textbody"/>
        <w:jc w:val="both"/>
        <w:rPr>
          <w:rFonts w:ascii="Century Gothic" w:hAnsi="Century Gothic"/>
          <w:b/>
          <w:bCs/>
          <w:sz w:val="22"/>
          <w:szCs w:val="22"/>
        </w:rPr>
      </w:pPr>
    </w:p>
    <w:p w:rsidR="004F3070" w:rsidRDefault="004F3070" w:rsidP="004F3070">
      <w:pPr>
        <w:pStyle w:val="Textbody"/>
        <w:jc w:val="center"/>
        <w:rPr>
          <w:rFonts w:ascii="Century Gothic" w:hAnsi="Century Gothic"/>
          <w:b/>
          <w:bCs/>
          <w:sz w:val="22"/>
          <w:szCs w:val="22"/>
        </w:rPr>
      </w:pPr>
      <w:r>
        <w:rPr>
          <w:rFonts w:ascii="Century Gothic" w:hAnsi="Century Gothic"/>
          <w:b/>
          <w:bCs/>
          <w:sz w:val="22"/>
          <w:szCs w:val="22"/>
        </w:rPr>
        <w:t>Darvas Elemér                         Mestyán Valéria</w:t>
      </w:r>
    </w:p>
    <w:p w:rsidR="00DA6CA7" w:rsidRPr="00F4051C" w:rsidRDefault="004F3070" w:rsidP="00F4051C">
      <w:pPr>
        <w:pStyle w:val="Textbody"/>
        <w:jc w:val="center"/>
        <w:rPr>
          <w:rFonts w:ascii="Century Gothic" w:hAnsi="Century Gothic"/>
          <w:b/>
          <w:bCs/>
          <w:sz w:val="22"/>
          <w:szCs w:val="22"/>
        </w:rPr>
      </w:pPr>
      <w:r>
        <w:rPr>
          <w:rFonts w:ascii="Century Gothic" w:hAnsi="Century Gothic"/>
          <w:b/>
          <w:bCs/>
          <w:sz w:val="22"/>
          <w:szCs w:val="22"/>
        </w:rPr>
        <w:t>adóügyi főmunkatárs              címzetes főjegyző</w:t>
      </w:r>
      <w:bookmarkStart w:id="9" w:name="pr1004id"/>
      <w:bookmarkStart w:id="10" w:name="pr1007id"/>
      <w:bookmarkEnd w:id="9"/>
      <w:bookmarkEnd w:id="10"/>
    </w:p>
    <w:sectPr w:rsidR="00DA6CA7" w:rsidRPr="00F4051C" w:rsidSect="00F130DF">
      <w:footerReference w:type="default" r:id="rId8"/>
      <w:pgSz w:w="11906" w:h="16838"/>
      <w:pgMar w:top="709" w:right="1417" w:bottom="241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D09" w:rsidRDefault="00136D09" w:rsidP="00073381">
      <w:pPr>
        <w:spacing w:after="0" w:line="240" w:lineRule="auto"/>
      </w:pPr>
      <w:r>
        <w:separator/>
      </w:r>
    </w:p>
  </w:endnote>
  <w:endnote w:type="continuationSeparator" w:id="1">
    <w:p w:rsidR="00136D09" w:rsidRDefault="00136D09" w:rsidP="0007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enSymbol">
    <w:altName w:val="Times New Roman"/>
    <w:charset w:val="00"/>
    <w:family w:val="auto"/>
    <w:pitch w:val="default"/>
    <w:sig w:usb0="00000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0608000"/>
      <w:docPartObj>
        <w:docPartGallery w:val="Page Numbers (Bottom of Page)"/>
        <w:docPartUnique/>
      </w:docPartObj>
    </w:sdtPr>
    <w:sdtContent>
      <w:p w:rsidR="00B77BD0" w:rsidRDefault="00C83964">
        <w:pPr>
          <w:pStyle w:val="llb"/>
          <w:jc w:val="right"/>
        </w:pPr>
        <w:r>
          <w:fldChar w:fldCharType="begin"/>
        </w:r>
        <w:r w:rsidR="00B77BD0">
          <w:instrText>PAGE   \* MERGEFORMAT</w:instrText>
        </w:r>
        <w:r>
          <w:fldChar w:fldCharType="separate"/>
        </w:r>
        <w:r w:rsidR="00F4051C">
          <w:rPr>
            <w:noProof/>
          </w:rPr>
          <w:t>24</w:t>
        </w:r>
        <w:r>
          <w:fldChar w:fldCharType="end"/>
        </w:r>
      </w:p>
    </w:sdtContent>
  </w:sdt>
  <w:p w:rsidR="00B77BD0" w:rsidRDefault="00B77BD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D09" w:rsidRDefault="00136D09" w:rsidP="00073381">
      <w:pPr>
        <w:spacing w:after="0" w:line="240" w:lineRule="auto"/>
      </w:pPr>
      <w:r>
        <w:separator/>
      </w:r>
    </w:p>
  </w:footnote>
  <w:footnote w:type="continuationSeparator" w:id="1">
    <w:p w:rsidR="00136D09" w:rsidRDefault="00136D09" w:rsidP="00073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C5D13"/>
    <w:multiLevelType w:val="multilevel"/>
    <w:tmpl w:val="E90E83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B148D"/>
    <w:multiLevelType w:val="multilevel"/>
    <w:tmpl w:val="4B18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773175"/>
    <w:multiLevelType w:val="multilevel"/>
    <w:tmpl w:val="00FA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5D3BC0"/>
    <w:multiLevelType w:val="hybridMultilevel"/>
    <w:tmpl w:val="2C38C944"/>
    <w:lvl w:ilvl="0" w:tplc="50926076">
      <w:start w:val="1"/>
      <w:numFmt w:val="decimal"/>
      <w:lvlText w:val="%1."/>
      <w:lvlJc w:val="left"/>
      <w:pPr>
        <w:ind w:left="720" w:hanging="360"/>
      </w:pPr>
      <w:rPr>
        <w:rFonts w:asciiTheme="minorHAnsi" w:hAnsi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64567D5"/>
    <w:multiLevelType w:val="multilevel"/>
    <w:tmpl w:val="328E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554AFD"/>
    <w:multiLevelType w:val="multilevel"/>
    <w:tmpl w:val="0C7688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2CC65431"/>
    <w:multiLevelType w:val="hybridMultilevel"/>
    <w:tmpl w:val="572A73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C386B6D"/>
    <w:multiLevelType w:val="multilevel"/>
    <w:tmpl w:val="0C9C1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4D1CCD"/>
    <w:multiLevelType w:val="multilevel"/>
    <w:tmpl w:val="30521792"/>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9">
    <w:nsid w:val="450167F3"/>
    <w:multiLevelType w:val="multilevel"/>
    <w:tmpl w:val="2E9A0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B16F54"/>
    <w:multiLevelType w:val="multilevel"/>
    <w:tmpl w:val="7A86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F26D59"/>
    <w:multiLevelType w:val="multilevel"/>
    <w:tmpl w:val="9094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976518"/>
    <w:multiLevelType w:val="multilevel"/>
    <w:tmpl w:val="0EC4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AB3089"/>
    <w:multiLevelType w:val="multilevel"/>
    <w:tmpl w:val="5F5C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57B50"/>
    <w:multiLevelType w:val="multilevel"/>
    <w:tmpl w:val="0F3E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FE588F"/>
    <w:multiLevelType w:val="hybridMultilevel"/>
    <w:tmpl w:val="C3BEF1CE"/>
    <w:lvl w:ilvl="0" w:tplc="547A6686">
      <w:start w:val="4"/>
      <w:numFmt w:val="bullet"/>
      <w:lvlText w:val="-"/>
      <w:lvlJc w:val="left"/>
      <w:pPr>
        <w:ind w:left="720" w:hanging="360"/>
      </w:pPr>
      <w:rPr>
        <w:rFonts w:ascii="Century Gothic" w:eastAsia="SimSun" w:hAnsi="Century Gothic" w:cs="Mang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1"/>
  </w:num>
  <w:num w:numId="5">
    <w:abstractNumId w:val="7"/>
  </w:num>
  <w:num w:numId="6">
    <w:abstractNumId w:val="9"/>
  </w:num>
  <w:num w:numId="7">
    <w:abstractNumId w:val="11"/>
  </w:num>
  <w:num w:numId="8">
    <w:abstractNumId w:val="4"/>
  </w:num>
  <w:num w:numId="9">
    <w:abstractNumId w:val="0"/>
  </w:num>
  <w:num w:numId="10">
    <w:abstractNumId w:val="13"/>
  </w:num>
  <w:num w:numId="11">
    <w:abstractNumId w:val="2"/>
  </w:num>
  <w:num w:numId="12">
    <w:abstractNumId w:val="12"/>
  </w:num>
  <w:num w:numId="13">
    <w:abstractNumId w:val="14"/>
  </w:num>
  <w:num w:numId="14">
    <w:abstractNumId w:val="5"/>
  </w:num>
  <w:num w:numId="15">
    <w:abstractNumId w:val="6"/>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63159"/>
    <w:rsid w:val="00073381"/>
    <w:rsid w:val="000946B9"/>
    <w:rsid w:val="000B4CF3"/>
    <w:rsid w:val="000C58B7"/>
    <w:rsid w:val="000C5C9F"/>
    <w:rsid w:val="001218C9"/>
    <w:rsid w:val="001351FF"/>
    <w:rsid w:val="00136D09"/>
    <w:rsid w:val="001A3C91"/>
    <w:rsid w:val="001E4262"/>
    <w:rsid w:val="002319DD"/>
    <w:rsid w:val="002D718C"/>
    <w:rsid w:val="002E2502"/>
    <w:rsid w:val="0032507B"/>
    <w:rsid w:val="0034471B"/>
    <w:rsid w:val="004126B5"/>
    <w:rsid w:val="0041468D"/>
    <w:rsid w:val="00472DA5"/>
    <w:rsid w:val="00497D49"/>
    <w:rsid w:val="004D7040"/>
    <w:rsid w:val="004E7603"/>
    <w:rsid w:val="004F3070"/>
    <w:rsid w:val="0058100A"/>
    <w:rsid w:val="00634360"/>
    <w:rsid w:val="006639FA"/>
    <w:rsid w:val="008079E6"/>
    <w:rsid w:val="008228EE"/>
    <w:rsid w:val="00862C1E"/>
    <w:rsid w:val="00863159"/>
    <w:rsid w:val="008979B0"/>
    <w:rsid w:val="008B4DE4"/>
    <w:rsid w:val="0090354D"/>
    <w:rsid w:val="00910B50"/>
    <w:rsid w:val="009364C1"/>
    <w:rsid w:val="00943B26"/>
    <w:rsid w:val="00943D59"/>
    <w:rsid w:val="009660A5"/>
    <w:rsid w:val="00992C7B"/>
    <w:rsid w:val="00AA40ED"/>
    <w:rsid w:val="00AC78A0"/>
    <w:rsid w:val="00B7048A"/>
    <w:rsid w:val="00B77BD0"/>
    <w:rsid w:val="00BA5C8E"/>
    <w:rsid w:val="00BF0A74"/>
    <w:rsid w:val="00BF71D1"/>
    <w:rsid w:val="00C6775D"/>
    <w:rsid w:val="00C83964"/>
    <w:rsid w:val="00CD5D7B"/>
    <w:rsid w:val="00D15AD6"/>
    <w:rsid w:val="00D672BF"/>
    <w:rsid w:val="00DA6CA7"/>
    <w:rsid w:val="00DD10BD"/>
    <w:rsid w:val="00DF2367"/>
    <w:rsid w:val="00E93423"/>
    <w:rsid w:val="00EC693A"/>
    <w:rsid w:val="00F130DF"/>
    <w:rsid w:val="00F4051C"/>
    <w:rsid w:val="00F4451C"/>
    <w:rsid w:val="00F60761"/>
    <w:rsid w:val="00F81313"/>
    <w:rsid w:val="00FD3BE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3964"/>
  </w:style>
  <w:style w:type="paragraph" w:styleId="Cmsor1">
    <w:name w:val="heading 1"/>
    <w:basedOn w:val="Norml"/>
    <w:link w:val="Cmsor1Char"/>
    <w:uiPriority w:val="9"/>
    <w:qFormat/>
    <w:rsid w:val="008631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910B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63159"/>
    <w:rPr>
      <w:rFonts w:ascii="Times New Roman" w:eastAsia="Times New Roman" w:hAnsi="Times New Roman" w:cs="Times New Roman"/>
      <w:b/>
      <w:bCs/>
      <w:kern w:val="36"/>
      <w:sz w:val="48"/>
      <w:szCs w:val="48"/>
      <w:lang w:eastAsia="hu-HU"/>
    </w:rPr>
  </w:style>
  <w:style w:type="paragraph" w:styleId="NormlWeb">
    <w:name w:val="Normal (Web)"/>
    <w:basedOn w:val="Norml"/>
    <w:uiPriority w:val="99"/>
    <w:unhideWhenUsed/>
    <w:rsid w:val="00EC693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F4451C"/>
    <w:pPr>
      <w:ind w:left="720"/>
      <w:contextualSpacing/>
    </w:pPr>
  </w:style>
  <w:style w:type="paragraph" w:styleId="lfej">
    <w:name w:val="header"/>
    <w:basedOn w:val="Norml"/>
    <w:link w:val="lfejChar"/>
    <w:uiPriority w:val="99"/>
    <w:unhideWhenUsed/>
    <w:rsid w:val="00073381"/>
    <w:pPr>
      <w:tabs>
        <w:tab w:val="center" w:pos="4536"/>
        <w:tab w:val="right" w:pos="9072"/>
      </w:tabs>
      <w:spacing w:after="0" w:line="240" w:lineRule="auto"/>
    </w:pPr>
  </w:style>
  <w:style w:type="character" w:customStyle="1" w:styleId="lfejChar">
    <w:name w:val="Élőfej Char"/>
    <w:basedOn w:val="Bekezdsalapbettpusa"/>
    <w:link w:val="lfej"/>
    <w:uiPriority w:val="99"/>
    <w:rsid w:val="00073381"/>
  </w:style>
  <w:style w:type="paragraph" w:styleId="llb">
    <w:name w:val="footer"/>
    <w:basedOn w:val="Norml"/>
    <w:link w:val="llbChar"/>
    <w:uiPriority w:val="99"/>
    <w:unhideWhenUsed/>
    <w:rsid w:val="00073381"/>
    <w:pPr>
      <w:tabs>
        <w:tab w:val="center" w:pos="4536"/>
        <w:tab w:val="right" w:pos="9072"/>
      </w:tabs>
      <w:spacing w:after="0" w:line="240" w:lineRule="auto"/>
    </w:pPr>
  </w:style>
  <w:style w:type="character" w:customStyle="1" w:styleId="llbChar">
    <w:name w:val="Élőláb Char"/>
    <w:basedOn w:val="Bekezdsalapbettpusa"/>
    <w:link w:val="llb"/>
    <w:uiPriority w:val="99"/>
    <w:rsid w:val="00073381"/>
  </w:style>
  <w:style w:type="table" w:styleId="Rcsostblzat">
    <w:name w:val="Table Grid"/>
    <w:basedOn w:val="Normltblzat"/>
    <w:uiPriority w:val="39"/>
    <w:rsid w:val="00FD3B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semiHidden/>
    <w:rsid w:val="00910B50"/>
    <w:rPr>
      <w:rFonts w:asciiTheme="majorHAnsi" w:eastAsiaTheme="majorEastAsia" w:hAnsiTheme="majorHAnsi" w:cstheme="majorBidi"/>
      <w:color w:val="2E74B5" w:themeColor="accent1" w:themeShade="BF"/>
      <w:sz w:val="26"/>
      <w:szCs w:val="26"/>
    </w:rPr>
  </w:style>
  <w:style w:type="character" w:styleId="Kiemels">
    <w:name w:val="Emphasis"/>
    <w:basedOn w:val="Bekezdsalapbettpusa"/>
    <w:uiPriority w:val="20"/>
    <w:qFormat/>
    <w:rsid w:val="00910B50"/>
    <w:rPr>
      <w:i/>
      <w:iCs/>
    </w:rPr>
  </w:style>
  <w:style w:type="character" w:styleId="Hiperhivatkozs">
    <w:name w:val="Hyperlink"/>
    <w:basedOn w:val="Bekezdsalapbettpusa"/>
    <w:uiPriority w:val="99"/>
    <w:semiHidden/>
    <w:unhideWhenUsed/>
    <w:rsid w:val="00910B50"/>
    <w:rPr>
      <w:color w:val="0000FF"/>
      <w:u w:val="single"/>
    </w:rPr>
  </w:style>
  <w:style w:type="character" w:customStyle="1" w:styleId="zold-szamozas">
    <w:name w:val="zold-szamozas"/>
    <w:basedOn w:val="Bekezdsalapbettpusa"/>
    <w:rsid w:val="00910B50"/>
  </w:style>
  <w:style w:type="character" w:styleId="Kiemels2">
    <w:name w:val="Strong"/>
    <w:basedOn w:val="Bekezdsalapbettpusa"/>
    <w:uiPriority w:val="22"/>
    <w:qFormat/>
    <w:rsid w:val="00910B50"/>
    <w:rPr>
      <w:b/>
      <w:bCs/>
    </w:rPr>
  </w:style>
  <w:style w:type="paragraph" w:customStyle="1" w:styleId="Standard">
    <w:name w:val="Standard"/>
    <w:rsid w:val="00DA6CA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DA6CA7"/>
    <w:pPr>
      <w:spacing w:after="120"/>
    </w:pPr>
  </w:style>
  <w:style w:type="paragraph" w:customStyle="1" w:styleId="Default">
    <w:name w:val="Default"/>
    <w:rsid w:val="00472D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sor11">
    <w:name w:val="Címsor 11"/>
    <w:basedOn w:val="Norml"/>
    <w:qFormat/>
    <w:rsid w:val="00992C7B"/>
    <w:pPr>
      <w:widowControl w:val="0"/>
      <w:spacing w:after="0" w:line="240" w:lineRule="auto"/>
      <w:outlineLvl w:val="1"/>
    </w:pPr>
    <w:rPr>
      <w:rFonts w:ascii="Tahoma" w:eastAsia="Tahoma" w:hAnsi="Tahoma" w:cs="Times New Roman"/>
      <w:b/>
      <w:bCs/>
      <w:lang w:val="en-US"/>
    </w:rPr>
  </w:style>
</w:styles>
</file>

<file path=word/webSettings.xml><?xml version="1.0" encoding="utf-8"?>
<w:webSettings xmlns:r="http://schemas.openxmlformats.org/officeDocument/2006/relationships" xmlns:w="http://schemas.openxmlformats.org/wordprocessingml/2006/main">
  <w:divs>
    <w:div w:id="75976978">
      <w:bodyDiv w:val="1"/>
      <w:marLeft w:val="0"/>
      <w:marRight w:val="0"/>
      <w:marTop w:val="0"/>
      <w:marBottom w:val="0"/>
      <w:divBdr>
        <w:top w:val="none" w:sz="0" w:space="0" w:color="auto"/>
        <w:left w:val="none" w:sz="0" w:space="0" w:color="auto"/>
        <w:bottom w:val="none" w:sz="0" w:space="0" w:color="auto"/>
        <w:right w:val="none" w:sz="0" w:space="0" w:color="auto"/>
      </w:divBdr>
    </w:div>
    <w:div w:id="86197110">
      <w:bodyDiv w:val="1"/>
      <w:marLeft w:val="0"/>
      <w:marRight w:val="0"/>
      <w:marTop w:val="0"/>
      <w:marBottom w:val="0"/>
      <w:divBdr>
        <w:top w:val="none" w:sz="0" w:space="0" w:color="auto"/>
        <w:left w:val="none" w:sz="0" w:space="0" w:color="auto"/>
        <w:bottom w:val="none" w:sz="0" w:space="0" w:color="auto"/>
        <w:right w:val="none" w:sz="0" w:space="0" w:color="auto"/>
      </w:divBdr>
    </w:div>
    <w:div w:id="264388541">
      <w:bodyDiv w:val="1"/>
      <w:marLeft w:val="0"/>
      <w:marRight w:val="0"/>
      <w:marTop w:val="0"/>
      <w:marBottom w:val="0"/>
      <w:divBdr>
        <w:top w:val="none" w:sz="0" w:space="0" w:color="auto"/>
        <w:left w:val="none" w:sz="0" w:space="0" w:color="auto"/>
        <w:bottom w:val="none" w:sz="0" w:space="0" w:color="auto"/>
        <w:right w:val="none" w:sz="0" w:space="0" w:color="auto"/>
      </w:divBdr>
    </w:div>
    <w:div w:id="499389252">
      <w:bodyDiv w:val="1"/>
      <w:marLeft w:val="0"/>
      <w:marRight w:val="0"/>
      <w:marTop w:val="0"/>
      <w:marBottom w:val="0"/>
      <w:divBdr>
        <w:top w:val="none" w:sz="0" w:space="0" w:color="auto"/>
        <w:left w:val="none" w:sz="0" w:space="0" w:color="auto"/>
        <w:bottom w:val="none" w:sz="0" w:space="0" w:color="auto"/>
        <w:right w:val="none" w:sz="0" w:space="0" w:color="auto"/>
      </w:divBdr>
    </w:div>
    <w:div w:id="1103107249">
      <w:bodyDiv w:val="1"/>
      <w:marLeft w:val="0"/>
      <w:marRight w:val="0"/>
      <w:marTop w:val="0"/>
      <w:marBottom w:val="0"/>
      <w:divBdr>
        <w:top w:val="none" w:sz="0" w:space="0" w:color="auto"/>
        <w:left w:val="none" w:sz="0" w:space="0" w:color="auto"/>
        <w:bottom w:val="none" w:sz="0" w:space="0" w:color="auto"/>
        <w:right w:val="none" w:sz="0" w:space="0" w:color="auto"/>
      </w:divBdr>
    </w:div>
    <w:div w:id="1185244367">
      <w:bodyDiv w:val="1"/>
      <w:marLeft w:val="0"/>
      <w:marRight w:val="0"/>
      <w:marTop w:val="0"/>
      <w:marBottom w:val="0"/>
      <w:divBdr>
        <w:top w:val="none" w:sz="0" w:space="0" w:color="auto"/>
        <w:left w:val="none" w:sz="0" w:space="0" w:color="auto"/>
        <w:bottom w:val="none" w:sz="0" w:space="0" w:color="auto"/>
        <w:right w:val="none" w:sz="0" w:space="0" w:color="auto"/>
      </w:divBdr>
    </w:div>
    <w:div w:id="1286303376">
      <w:bodyDiv w:val="1"/>
      <w:marLeft w:val="0"/>
      <w:marRight w:val="0"/>
      <w:marTop w:val="0"/>
      <w:marBottom w:val="0"/>
      <w:divBdr>
        <w:top w:val="none" w:sz="0" w:space="0" w:color="auto"/>
        <w:left w:val="none" w:sz="0" w:space="0" w:color="auto"/>
        <w:bottom w:val="none" w:sz="0" w:space="0" w:color="auto"/>
        <w:right w:val="none" w:sz="0" w:space="0" w:color="auto"/>
      </w:divBdr>
    </w:div>
    <w:div w:id="1363172120">
      <w:bodyDiv w:val="1"/>
      <w:marLeft w:val="0"/>
      <w:marRight w:val="0"/>
      <w:marTop w:val="0"/>
      <w:marBottom w:val="0"/>
      <w:divBdr>
        <w:top w:val="none" w:sz="0" w:space="0" w:color="auto"/>
        <w:left w:val="none" w:sz="0" w:space="0" w:color="auto"/>
        <w:bottom w:val="none" w:sz="0" w:space="0" w:color="auto"/>
        <w:right w:val="none" w:sz="0" w:space="0" w:color="auto"/>
      </w:divBdr>
    </w:div>
    <w:div w:id="1532691776">
      <w:bodyDiv w:val="1"/>
      <w:marLeft w:val="0"/>
      <w:marRight w:val="0"/>
      <w:marTop w:val="0"/>
      <w:marBottom w:val="0"/>
      <w:divBdr>
        <w:top w:val="none" w:sz="0" w:space="0" w:color="auto"/>
        <w:left w:val="none" w:sz="0" w:space="0" w:color="auto"/>
        <w:bottom w:val="none" w:sz="0" w:space="0" w:color="auto"/>
        <w:right w:val="none" w:sz="0" w:space="0" w:color="auto"/>
      </w:divBdr>
    </w:div>
    <w:div w:id="1596354378">
      <w:bodyDiv w:val="1"/>
      <w:marLeft w:val="0"/>
      <w:marRight w:val="0"/>
      <w:marTop w:val="0"/>
      <w:marBottom w:val="0"/>
      <w:divBdr>
        <w:top w:val="none" w:sz="0" w:space="0" w:color="auto"/>
        <w:left w:val="none" w:sz="0" w:space="0" w:color="auto"/>
        <w:bottom w:val="none" w:sz="0" w:space="0" w:color="auto"/>
        <w:right w:val="none" w:sz="0" w:space="0" w:color="auto"/>
      </w:divBdr>
    </w:div>
    <w:div w:id="1777212248">
      <w:bodyDiv w:val="1"/>
      <w:marLeft w:val="0"/>
      <w:marRight w:val="0"/>
      <w:marTop w:val="0"/>
      <w:marBottom w:val="0"/>
      <w:divBdr>
        <w:top w:val="none" w:sz="0" w:space="0" w:color="auto"/>
        <w:left w:val="none" w:sz="0" w:space="0" w:color="auto"/>
        <w:bottom w:val="none" w:sz="0" w:space="0" w:color="auto"/>
        <w:right w:val="none" w:sz="0" w:space="0" w:color="auto"/>
      </w:divBdr>
    </w:div>
    <w:div w:id="1988584429">
      <w:bodyDiv w:val="1"/>
      <w:marLeft w:val="0"/>
      <w:marRight w:val="0"/>
      <w:marTop w:val="0"/>
      <w:marBottom w:val="0"/>
      <w:divBdr>
        <w:top w:val="none" w:sz="0" w:space="0" w:color="auto"/>
        <w:left w:val="none" w:sz="0" w:space="0" w:color="auto"/>
        <w:bottom w:val="none" w:sz="0" w:space="0" w:color="auto"/>
        <w:right w:val="none" w:sz="0" w:space="0" w:color="auto"/>
      </w:divBdr>
      <w:divsChild>
        <w:div w:id="313338900">
          <w:marLeft w:val="0"/>
          <w:marRight w:val="0"/>
          <w:marTop w:val="0"/>
          <w:marBottom w:val="0"/>
          <w:divBdr>
            <w:top w:val="none" w:sz="0" w:space="0" w:color="auto"/>
            <w:left w:val="none" w:sz="0" w:space="0" w:color="auto"/>
            <w:bottom w:val="none" w:sz="0" w:space="0" w:color="auto"/>
            <w:right w:val="none" w:sz="0" w:space="0" w:color="auto"/>
          </w:divBdr>
          <w:divsChild>
            <w:div w:id="547375400">
              <w:marLeft w:val="0"/>
              <w:marRight w:val="0"/>
              <w:marTop w:val="0"/>
              <w:marBottom w:val="0"/>
              <w:divBdr>
                <w:top w:val="none" w:sz="0" w:space="0" w:color="auto"/>
                <w:left w:val="none" w:sz="0" w:space="0" w:color="auto"/>
                <w:bottom w:val="none" w:sz="0" w:space="0" w:color="auto"/>
                <w:right w:val="none" w:sz="0" w:space="0" w:color="auto"/>
              </w:divBdr>
            </w:div>
          </w:divsChild>
        </w:div>
        <w:div w:id="306015416">
          <w:marLeft w:val="0"/>
          <w:marRight w:val="0"/>
          <w:marTop w:val="0"/>
          <w:marBottom w:val="0"/>
          <w:divBdr>
            <w:top w:val="none" w:sz="0" w:space="0" w:color="auto"/>
            <w:left w:val="none" w:sz="0" w:space="0" w:color="auto"/>
            <w:bottom w:val="none" w:sz="0" w:space="0" w:color="auto"/>
            <w:right w:val="none" w:sz="0" w:space="0" w:color="auto"/>
          </w:divBdr>
        </w:div>
      </w:divsChild>
    </w:div>
    <w:div w:id="200049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768</TotalTime>
  <Pages>24</Pages>
  <Words>5736</Words>
  <Characters>39584</Characters>
  <Application>Microsoft Office Word</Application>
  <DocSecurity>0</DocSecurity>
  <Lines>329</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cp:lastModifiedBy>
  <cp:revision>14</cp:revision>
  <cp:lastPrinted>2021-09-08T09:31:00Z</cp:lastPrinted>
  <dcterms:created xsi:type="dcterms:W3CDTF">2021-07-27T09:26:00Z</dcterms:created>
  <dcterms:modified xsi:type="dcterms:W3CDTF">2021-09-08T09:34:00Z</dcterms:modified>
</cp:coreProperties>
</file>