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14" w:rsidRPr="001674A6" w:rsidRDefault="00BB3B14" w:rsidP="00BB3B14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BB3B14" w:rsidRPr="001674A6" w:rsidRDefault="00BB3B14" w:rsidP="00BB3B14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Pr="001674A6" w:rsidRDefault="00BB3B14" w:rsidP="00BB3B14">
      <w:pPr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b/>
          <w:noProof/>
          <w:sz w:val="36"/>
          <w:szCs w:val="36"/>
          <w:lang w:eastAsia="hu-HU" w:bidi="ar-SA"/>
        </w:rPr>
        <w:drawing>
          <wp:inline distT="0" distB="0" distL="0" distR="0">
            <wp:extent cx="1091565" cy="1257935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14" w:rsidRPr="001674A6" w:rsidRDefault="00BB3B14" w:rsidP="00BB3B14">
      <w:pPr>
        <w:jc w:val="center"/>
        <w:rPr>
          <w:rFonts w:ascii="Century Gothic" w:hAnsi="Century Gothic"/>
          <w:sz w:val="36"/>
          <w:szCs w:val="36"/>
        </w:rPr>
      </w:pP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05308" w:rsidRDefault="00BB3B14" w:rsidP="00BB3B14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 xml:space="preserve">BALATONBERÉNY KÖZSÉG ÖNKORMÁNYZATI </w:t>
      </w: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KÉPVISELŐ-TESTÜLETÉNEK</w:t>
      </w: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2021. </w:t>
      </w:r>
      <w:r>
        <w:rPr>
          <w:rFonts w:ascii="Century Gothic" w:eastAsia="Arial Unicode MS" w:hAnsi="Century Gothic"/>
          <w:b/>
          <w:sz w:val="36"/>
          <w:szCs w:val="36"/>
        </w:rPr>
        <w:t xml:space="preserve">november 25-ei </w:t>
      </w: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BB3B14" w:rsidRPr="001674A6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05308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Települési hulladékgazdálkodási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 közszolgáltatásról szóló 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önkormányzati rendelet 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Mestyán Valéria 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címzetes főjegyző </w:t>
      </w: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Default="00BB3B14" w:rsidP="00BB3B1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Tisztelt Képviselő-testület!</w:t>
      </w:r>
    </w:p>
    <w:p w:rsidR="00BB3B14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405308" w:rsidRPr="00405308" w:rsidRDefault="00405308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A 2021. október 28-án hozott döntésnek megfelelőn a rendeleten a módosításokat elvégeztem:</w:t>
      </w:r>
    </w:p>
    <w:p w:rsidR="00BB3B14" w:rsidRPr="00405308" w:rsidRDefault="00BB3B14" w:rsidP="00BB3B14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a zártkerti területre nem terjed ki a tervezet hatálya</w:t>
      </w:r>
    </w:p>
    <w:p w:rsidR="00BB3B14" w:rsidRPr="00405308" w:rsidRDefault="00BB3B14" w:rsidP="00BB3B14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a lomhulladék tekintetében a 2 m</w:t>
      </w:r>
      <w:r w:rsidRPr="00405308">
        <w:rPr>
          <w:rFonts w:ascii="Century Gothic" w:hAnsi="Century Gothic"/>
          <w:bCs/>
          <w:sz w:val="22"/>
          <w:szCs w:val="22"/>
          <w:vertAlign w:val="superscript"/>
        </w:rPr>
        <w:t>3</w:t>
      </w:r>
      <w:r w:rsidRPr="00405308">
        <w:rPr>
          <w:rFonts w:ascii="Century Gothic" w:hAnsi="Century Gothic"/>
          <w:bCs/>
          <w:sz w:val="22"/>
          <w:szCs w:val="22"/>
        </w:rPr>
        <w:t>-es korlátozást nem írja elő a tervezet, mivel ezt a kormányhivatal a minisztériummal történt előzetes egyeztetés alapján kifogásolja.</w:t>
      </w: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Jelzem, hogy a lakossági tájékoztató</w:t>
      </w:r>
      <w:r w:rsidR="009A7072">
        <w:rPr>
          <w:rFonts w:ascii="Century Gothic" w:hAnsi="Century Gothic"/>
          <w:bCs/>
          <w:sz w:val="22"/>
          <w:szCs w:val="22"/>
        </w:rPr>
        <w:t xml:space="preserve"> anyag</w:t>
      </w:r>
      <w:r w:rsidRPr="00405308">
        <w:rPr>
          <w:rFonts w:ascii="Century Gothic" w:hAnsi="Century Gothic"/>
          <w:bCs/>
          <w:sz w:val="22"/>
          <w:szCs w:val="22"/>
        </w:rPr>
        <w:t xml:space="preserve"> tervezete is elkészült, amely a rendelet kihirdetését követően pár napon belül közzé tehető, illetve a helyi adóértesítőkkel együtt minden ingatl</w:t>
      </w:r>
      <w:r w:rsidR="009A7072">
        <w:rPr>
          <w:rFonts w:ascii="Century Gothic" w:hAnsi="Century Gothic"/>
          <w:bCs/>
          <w:sz w:val="22"/>
          <w:szCs w:val="22"/>
        </w:rPr>
        <w:t>antulajdonos részére megküldünk a jövő év elején.</w:t>
      </w:r>
    </w:p>
    <w:p w:rsidR="00BB3B14" w:rsidRPr="00405308" w:rsidRDefault="00BB3B14" w:rsidP="00BB3B14">
      <w:pPr>
        <w:pStyle w:val="Listaszerbekezds"/>
        <w:spacing w:after="160" w:line="256" w:lineRule="auto"/>
        <w:ind w:left="0"/>
        <w:contextualSpacing/>
        <w:jc w:val="both"/>
        <w:rPr>
          <w:rFonts w:ascii="Century Gothic" w:eastAsia="Times New Roman" w:hAnsi="Century Gothic" w:cs="Arial"/>
          <w:color w:val="000000"/>
          <w:lang w:eastAsia="hu-HU"/>
        </w:rPr>
      </w:pPr>
    </w:p>
    <w:p w:rsidR="00BB3B14" w:rsidRPr="00405308" w:rsidRDefault="00BB3B14" w:rsidP="00BB3B14">
      <w:pPr>
        <w:pStyle w:val="Listaszerbekezds"/>
        <w:spacing w:after="160" w:line="256" w:lineRule="auto"/>
        <w:ind w:left="0"/>
        <w:contextualSpacing/>
        <w:jc w:val="both"/>
        <w:rPr>
          <w:rFonts w:ascii="Century Gothic" w:eastAsia="Times New Roman" w:hAnsi="Century Gothic" w:cs="Arial"/>
          <w:color w:val="000000"/>
          <w:lang w:eastAsia="hu-HU"/>
        </w:rPr>
      </w:pPr>
    </w:p>
    <w:p w:rsidR="00BB3B14" w:rsidRPr="00405308" w:rsidRDefault="00BB3B14" w:rsidP="00BB3B14">
      <w:pPr>
        <w:pStyle w:val="Listaszerbekezds"/>
        <w:spacing w:after="160" w:line="256" w:lineRule="auto"/>
        <w:ind w:left="0"/>
        <w:contextualSpacing/>
        <w:jc w:val="both"/>
        <w:rPr>
          <w:rFonts w:ascii="Century Gothic" w:eastAsia="Times New Roman" w:hAnsi="Century Gothic" w:cs="Arial"/>
          <w:color w:val="000000"/>
          <w:lang w:eastAsia="hu-HU"/>
        </w:rPr>
      </w:pPr>
      <w:r w:rsidRPr="00405308">
        <w:rPr>
          <w:rFonts w:ascii="Century Gothic" w:eastAsia="Times New Roman" w:hAnsi="Century Gothic" w:cs="Arial"/>
          <w:color w:val="000000"/>
          <w:lang w:eastAsia="hu-HU"/>
        </w:rPr>
        <w:t>Többlethulladékos zsák ára bruttó 394 Ft, értékesítő hely az alábbi:</w:t>
      </w:r>
    </w:p>
    <w:p w:rsidR="00BB3B14" w:rsidRPr="00405308" w:rsidRDefault="00BB3B14" w:rsidP="00BB3B14">
      <w:pPr>
        <w:pStyle w:val="Listaszerbekezds"/>
        <w:spacing w:after="160" w:line="256" w:lineRule="auto"/>
        <w:ind w:left="0"/>
        <w:contextualSpacing/>
        <w:jc w:val="both"/>
        <w:rPr>
          <w:rFonts w:ascii="Century Gothic" w:eastAsia="Times New Roman" w:hAnsi="Century Gothic" w:cs="Arial"/>
          <w:color w:val="000000"/>
          <w:lang w:eastAsia="hu-HU"/>
        </w:rPr>
      </w:pPr>
      <w:r w:rsidRPr="00405308">
        <w:rPr>
          <w:rFonts w:ascii="Century Gothic" w:eastAsia="Times New Roman" w:hAnsi="Century Gothic" w:cs="Arial"/>
          <w:color w:val="000000"/>
          <w:lang w:eastAsia="hu-HU"/>
        </w:rPr>
        <w:t>224. sz. Coop üzlet                Balatonberény, Kossuth utca 1.</w:t>
      </w:r>
    </w:p>
    <w:p w:rsidR="0001603A" w:rsidRDefault="00BB3B14" w:rsidP="0001603A">
      <w:pPr>
        <w:pStyle w:val="Listaszerbekezds"/>
        <w:spacing w:after="160" w:line="256" w:lineRule="auto"/>
        <w:ind w:left="0"/>
        <w:contextualSpacing/>
        <w:jc w:val="both"/>
        <w:rPr>
          <w:rFonts w:ascii="Century Gothic" w:eastAsia="Times New Roman" w:hAnsi="Century Gothic" w:cs="Arial"/>
          <w:color w:val="000000"/>
          <w:lang w:eastAsia="hu-HU"/>
        </w:rPr>
      </w:pPr>
      <w:r w:rsidRPr="00405308">
        <w:rPr>
          <w:rFonts w:ascii="Century Gothic" w:eastAsia="Times New Roman" w:hAnsi="Century Gothic" w:cs="Arial"/>
          <w:color w:val="000000"/>
          <w:lang w:eastAsia="hu-HU"/>
        </w:rPr>
        <w:t>225. sz. Coop üzlet                Balatonberény, Szabadság utca 1.</w:t>
      </w:r>
    </w:p>
    <w:p w:rsidR="00BB3B14" w:rsidRPr="0001603A" w:rsidRDefault="00BB3B14" w:rsidP="0001603A">
      <w:pPr>
        <w:pStyle w:val="Listaszerbekezds"/>
        <w:spacing w:after="160" w:line="256" w:lineRule="auto"/>
        <w:ind w:left="0"/>
        <w:contextualSpacing/>
        <w:jc w:val="both"/>
        <w:rPr>
          <w:rFonts w:ascii="Century Gothic" w:eastAsia="Times New Roman" w:hAnsi="Century Gothic" w:cs="Arial"/>
          <w:color w:val="000000"/>
          <w:lang w:eastAsia="hu-HU"/>
        </w:rPr>
      </w:pPr>
      <w:r w:rsidRPr="0001603A">
        <w:rPr>
          <w:rFonts w:ascii="Century Gothic" w:eastAsia="Times New Roman" w:hAnsi="Century Gothic" w:cs="Arial"/>
          <w:color w:val="000000"/>
          <w:lang w:eastAsia="hu-HU"/>
        </w:rPr>
        <w:t>SPAR market</w:t>
      </w:r>
      <w:r w:rsidR="0001603A">
        <w:rPr>
          <w:rFonts w:ascii="Century Gothic" w:eastAsia="Times New Roman" w:hAnsi="Century Gothic" w:cs="Arial"/>
          <w:color w:val="000000"/>
          <w:lang w:eastAsia="hu-HU"/>
        </w:rPr>
        <w:t xml:space="preserve"> </w:t>
      </w:r>
      <w:r w:rsidRPr="0001603A">
        <w:rPr>
          <w:rFonts w:ascii="Century Gothic" w:eastAsia="Times New Roman" w:hAnsi="Century Gothic" w:cs="Arial"/>
          <w:color w:val="000000"/>
          <w:lang w:eastAsia="hu-HU"/>
        </w:rPr>
        <w:tab/>
        <w:t>Balatonberény, Kossuth utca</w:t>
      </w: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eastAsia="Times New Roman" w:hAnsi="Century Gothic" w:cs="Arial"/>
          <w:bCs/>
          <w:sz w:val="22"/>
          <w:szCs w:val="22"/>
          <w:lang w:eastAsia="hu-HU"/>
        </w:rPr>
        <w:t xml:space="preserve">A szolgáltató logójával ellátott biológiailag lebomló </w:t>
      </w:r>
      <w:r w:rsidRPr="00405308">
        <w:rPr>
          <w:rFonts w:ascii="Century Gothic" w:hAnsi="Century Gothic" w:cs="Arial"/>
          <w:sz w:val="22"/>
          <w:szCs w:val="22"/>
        </w:rPr>
        <w:t>zsák megvásárolható a többlethulladékos zsákot értékesítő üzletekben bruttó 200 Ft/db egységáron</w:t>
      </w: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Balatonberény, 2021. november 18.</w:t>
      </w: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BB3B14" w:rsidRPr="00405308" w:rsidRDefault="00BB3B14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Mestyán Valéria                    Horváth László</w:t>
      </w:r>
    </w:p>
    <w:p w:rsidR="00BB3B14" w:rsidRPr="00405308" w:rsidRDefault="00BB3B14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  <w:r w:rsidRPr="00405308">
        <w:rPr>
          <w:rFonts w:ascii="Century Gothic" w:hAnsi="Century Gothic"/>
          <w:bCs/>
          <w:sz w:val="22"/>
          <w:szCs w:val="22"/>
        </w:rPr>
        <w:t>címzetes főjegyző                 polgármester</w:t>
      </w:r>
    </w:p>
    <w:p w:rsidR="00BB3B14" w:rsidRPr="00405308" w:rsidRDefault="00BB3B14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405308" w:rsidRPr="00405308" w:rsidRDefault="00405308" w:rsidP="00BB3B14">
      <w:pPr>
        <w:pStyle w:val="Szvegtrzs"/>
        <w:spacing w:after="0" w:line="240" w:lineRule="auto"/>
        <w:jc w:val="center"/>
        <w:rPr>
          <w:rFonts w:ascii="Century Gothic" w:hAnsi="Century Gothic"/>
          <w:bCs/>
          <w:sz w:val="22"/>
          <w:szCs w:val="22"/>
        </w:rPr>
      </w:pPr>
    </w:p>
    <w:p w:rsidR="00BB3B14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A7072" w:rsidRDefault="009A7072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A7072" w:rsidRDefault="009A7072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A7072" w:rsidRDefault="009A7072" w:rsidP="009A7072">
      <w:pPr>
        <w:jc w:val="both"/>
      </w:pPr>
    </w:p>
    <w:p w:rsidR="009A7072" w:rsidRPr="00CA3DC4" w:rsidRDefault="009A7072" w:rsidP="009A7072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9A7072" w:rsidRPr="00CA3DC4" w:rsidTr="00754FD8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072" w:rsidRPr="00A10B5F" w:rsidRDefault="009A7072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Balatonberény Község Önkormányzat Képviselő-testületének  </w:t>
            </w:r>
            <w:r w:rsidRPr="00A10B5F">
              <w:rPr>
                <w:rFonts w:ascii="Cambria" w:hAnsi="Cambria"/>
                <w:b/>
                <w:bCs/>
              </w:rPr>
              <w:t>a települési hulladékgazdálkodási közszolgáltatásról</w:t>
            </w:r>
          </w:p>
          <w:p w:rsidR="009A7072" w:rsidRPr="00CA3DC4" w:rsidRDefault="009A7072" w:rsidP="00754FD8">
            <w:pPr>
              <w:rPr>
                <w:rFonts w:ascii="Bahnschrift Light" w:hAnsi="Bahnschrift Light"/>
                <w:sz w:val="18"/>
                <w:szCs w:val="18"/>
              </w:rPr>
            </w:pPr>
          </w:p>
        </w:tc>
      </w:tr>
      <w:tr w:rsidR="009A7072" w:rsidRPr="00CA3DC4" w:rsidTr="00754F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9A7072" w:rsidRPr="00CA3DC4" w:rsidTr="00754FD8">
        <w:trPr>
          <w:trHeight w:val="7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9A7072" w:rsidRPr="00CA3DC4" w:rsidTr="00754FD8">
        <w:trPr>
          <w:trHeight w:val="211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072" w:rsidRPr="00CA3DC4" w:rsidRDefault="009A7072" w:rsidP="00754F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A tervezet az állampolgárok tudatos hulladékkezeléssel kapcsolatos gondolkodását, tevékenységét kívánja a hulladékmennyiség csökkentésére, a környezetbarát komposztálásra terelni.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</w:t>
            </w:r>
            <w:r>
              <w:rPr>
                <w:rFonts w:ascii="Bahnschrift Light" w:hAnsi="Bahnschrift Light"/>
                <w:sz w:val="18"/>
                <w:szCs w:val="18"/>
              </w:rPr>
              <w:t>tervezet költségvetési hatása a jövőt illetően a közterületi hulladékokkal kapcsolatosan fog jelentkezni.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A tervezet a minél kisebb hulladéktermelés a célja, illetve az ingatlanhasználók ösztönzése a komposztálásra, a szelektív hulladékok elkülönített gyűjtésére..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A tervezetnek a jelenleg is fennálló igazolások kiállításával kapcsolatos feladatok jelentkeznek a hivatalban..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9A7072" w:rsidRPr="00CA3DC4" w:rsidTr="00754FD8">
        <w:trPr>
          <w:trHeight w:val="845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F8670E" w:rsidRDefault="009A7072" w:rsidP="00754FD8">
            <w:pPr>
              <w:ind w:right="-457"/>
              <w:rPr>
                <w:rFonts w:ascii="Garamond" w:hAnsi="Garamond"/>
                <w:b/>
                <w:sz w:val="20"/>
                <w:szCs w:val="20"/>
              </w:rPr>
            </w:pPr>
            <w:r w:rsidRPr="00F8670E">
              <w:rPr>
                <w:rFonts w:ascii="Garamond" w:hAnsi="Garamond"/>
                <w:b/>
                <w:sz w:val="20"/>
                <w:szCs w:val="20"/>
              </w:rPr>
              <w:t xml:space="preserve">A rendelet megalkotása szükséges, mert:  </w:t>
            </w:r>
          </w:p>
          <w:p w:rsidR="009A7072" w:rsidRPr="00F8670E" w:rsidRDefault="009A7072" w:rsidP="00754FD8">
            <w:pPr>
              <w:ind w:right="-457"/>
              <w:rPr>
                <w:rFonts w:ascii="Garamond" w:hAnsi="Garamond"/>
                <w:sz w:val="20"/>
                <w:szCs w:val="20"/>
              </w:rPr>
            </w:pPr>
            <w:r w:rsidRPr="00F8670E">
              <w:rPr>
                <w:rFonts w:ascii="Garamond" w:hAnsi="Garamond"/>
                <w:sz w:val="20"/>
                <w:szCs w:val="20"/>
              </w:rPr>
              <w:t>A Délnyugat Balatoni Hulladékgazdálkodási Társulás tagjaként célszer</w:t>
            </w:r>
            <w:r w:rsidRPr="00F8670E">
              <w:rPr>
                <w:rFonts w:ascii="Garamond" w:hAnsi="Garamond" w:cs="Cambria"/>
                <w:sz w:val="20"/>
                <w:szCs w:val="20"/>
              </w:rPr>
              <w:t>ű</w:t>
            </w:r>
            <w:r w:rsidRPr="00F8670E">
              <w:rPr>
                <w:rFonts w:ascii="Garamond" w:hAnsi="Garamond"/>
                <w:sz w:val="20"/>
                <w:szCs w:val="20"/>
              </w:rPr>
              <w:t xml:space="preserve"> a k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ö</w:t>
            </w:r>
            <w:r w:rsidRPr="00F8670E">
              <w:rPr>
                <w:rFonts w:ascii="Garamond" w:hAnsi="Garamond"/>
                <w:sz w:val="20"/>
                <w:szCs w:val="20"/>
              </w:rPr>
              <w:t>zszolg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á</w:t>
            </w:r>
            <w:r w:rsidRPr="00F8670E">
              <w:rPr>
                <w:rFonts w:ascii="Garamond" w:hAnsi="Garamond"/>
                <w:sz w:val="20"/>
                <w:szCs w:val="20"/>
              </w:rPr>
              <w:t>ltat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á</w:t>
            </w:r>
            <w:r w:rsidRPr="00F8670E">
              <w:rPr>
                <w:rFonts w:ascii="Garamond" w:hAnsi="Garamond"/>
                <w:sz w:val="20"/>
                <w:szCs w:val="20"/>
              </w:rPr>
              <w:t>s pontos, mindenki sz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á</w:t>
            </w:r>
            <w:r w:rsidRPr="00F8670E">
              <w:rPr>
                <w:rFonts w:ascii="Garamond" w:hAnsi="Garamond"/>
                <w:sz w:val="20"/>
                <w:szCs w:val="20"/>
              </w:rPr>
              <w:t>m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á</w:t>
            </w:r>
            <w:r w:rsidRPr="00F8670E">
              <w:rPr>
                <w:rFonts w:ascii="Garamond" w:hAnsi="Garamond"/>
                <w:sz w:val="20"/>
                <w:szCs w:val="20"/>
              </w:rPr>
              <w:t>ra k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ö</w:t>
            </w:r>
            <w:r w:rsidRPr="00F8670E">
              <w:rPr>
                <w:rFonts w:ascii="Garamond" w:hAnsi="Garamond"/>
                <w:sz w:val="20"/>
                <w:szCs w:val="20"/>
              </w:rPr>
              <w:t>vethet</w:t>
            </w:r>
            <w:r w:rsidRPr="00F8670E">
              <w:rPr>
                <w:rFonts w:ascii="Garamond" w:hAnsi="Garamond" w:cs="Cambria"/>
                <w:sz w:val="20"/>
                <w:szCs w:val="20"/>
              </w:rPr>
              <w:t>ő</w:t>
            </w:r>
            <w:r w:rsidRPr="00F8670E">
              <w:rPr>
                <w:rFonts w:ascii="Garamond" w:hAnsi="Garamond"/>
                <w:sz w:val="20"/>
                <w:szCs w:val="20"/>
              </w:rPr>
              <w:t xml:space="preserve"> – közel azonos, települési eltéréséket figyelembe vev</w:t>
            </w:r>
            <w:r w:rsidRPr="00F8670E">
              <w:rPr>
                <w:rFonts w:ascii="Garamond" w:hAnsi="Garamond" w:cs="Cambria"/>
                <w:sz w:val="20"/>
                <w:szCs w:val="20"/>
              </w:rPr>
              <w:t>ő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–</w:t>
            </w:r>
            <w:r w:rsidRPr="00F8670E">
              <w:rPr>
                <w:rFonts w:ascii="Garamond" w:hAnsi="Garamond"/>
                <w:sz w:val="20"/>
                <w:szCs w:val="20"/>
              </w:rPr>
              <w:t xml:space="preserve"> szab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á</w:t>
            </w:r>
            <w:r w:rsidRPr="00F8670E">
              <w:rPr>
                <w:rFonts w:ascii="Garamond" w:hAnsi="Garamond"/>
                <w:sz w:val="20"/>
                <w:szCs w:val="20"/>
              </w:rPr>
              <w:t>lyoz</w:t>
            </w:r>
            <w:r w:rsidRPr="00F8670E">
              <w:rPr>
                <w:rFonts w:ascii="Garamond" w:hAnsi="Garamond" w:cs="Blackadder ITC"/>
                <w:sz w:val="20"/>
                <w:szCs w:val="20"/>
              </w:rPr>
              <w:t>á</w:t>
            </w:r>
            <w:r w:rsidRPr="00F8670E">
              <w:rPr>
                <w:rFonts w:ascii="Garamond" w:hAnsi="Garamond"/>
                <w:sz w:val="20"/>
                <w:szCs w:val="20"/>
              </w:rPr>
              <w:t>sa.</w:t>
            </w:r>
          </w:p>
        </w:tc>
      </w:tr>
      <w:tr w:rsidR="009A7072" w:rsidRPr="00CA3DC4" w:rsidTr="00754FD8">
        <w:trPr>
          <w:trHeight w:val="799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</w:p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Törvényességi felügyeleti eljárást vonhat maga után.</w:t>
            </w:r>
          </w:p>
        </w:tc>
      </w:tr>
      <w:tr w:rsidR="009A7072" w:rsidRPr="00CA3DC4" w:rsidTr="00754F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9A7072" w:rsidRPr="00CA3DC4" w:rsidTr="00754FD8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9A7072" w:rsidRPr="00CA3DC4" w:rsidTr="00754FD8">
        <w:trPr>
          <w:trHeight w:val="446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072" w:rsidRPr="00CA3DC4" w:rsidRDefault="009A7072" w:rsidP="00754F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:rsidR="009A7072" w:rsidRPr="00CA3DC4" w:rsidRDefault="009A7072" w:rsidP="009A7072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A7072" w:rsidRPr="00CA3DC4" w:rsidRDefault="009A7072" w:rsidP="009A7072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A7072" w:rsidRDefault="009A7072" w:rsidP="0001603A">
      <w:pPr>
        <w:pStyle w:val="Szvegtrzs"/>
        <w:spacing w:after="0" w:line="240" w:lineRule="auto"/>
        <w:rPr>
          <w:rFonts w:ascii="Cambria" w:hAnsi="Cambria"/>
          <w:b/>
          <w:bCs/>
        </w:rPr>
      </w:pPr>
    </w:p>
    <w:p w:rsidR="009A7072" w:rsidRDefault="009A7072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A7072" w:rsidRPr="009A7072" w:rsidRDefault="009A7072" w:rsidP="009A7072">
      <w:pPr>
        <w:jc w:val="center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Általános indokolás </w:t>
      </w:r>
    </w:p>
    <w:p w:rsidR="009A7072" w:rsidRPr="009A7072" w:rsidRDefault="009A7072" w:rsidP="009A7072">
      <w:pPr>
        <w:jc w:val="center"/>
        <w:rPr>
          <w:rFonts w:ascii="Century Gothic" w:hAnsi="Century Gothic" w:cs="Arial"/>
          <w:sz w:val="20"/>
          <w:szCs w:val="20"/>
        </w:rPr>
      </w:pPr>
    </w:p>
    <w:p w:rsidR="009A7072" w:rsidRPr="009A7072" w:rsidRDefault="009A7072" w:rsidP="009A7072">
      <w:pPr>
        <w:jc w:val="both"/>
        <w:rPr>
          <w:rFonts w:ascii="Century Gothic" w:hAnsi="Century Gothic"/>
          <w:sz w:val="20"/>
          <w:szCs w:val="20"/>
        </w:rPr>
      </w:pP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Az ingatlan típus kibővítésre került a lakóegységgel, a lakóegység fogalmának pontos meghatározásával. Mivel a közszolgáltatás díját lakóegységenként kell megfizetni indokolt a rendeletben a fogalom pontos meghatározása.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Megfogalmazásra kerül, hogy az ingatlan használó köteles szabvány gyűjtőedényt beszerezni a vegyes települési hulladék gyűjtéséhez, továbbá a gyűjtőedényre köteles a szolgáltató által rendszeresített edénymatricát felragasztani. Ez alapján a vegyes települési hulladék a jövőben csak gyűjtőedényből lesz elszállítva, a fekete zsákban kihelyezett hulladék nem kerül elszállításra.</w:t>
      </w:r>
    </w:p>
    <w:p w:rsidR="009A7072" w:rsidRPr="009A7072" w:rsidRDefault="009A7072" w:rsidP="009A7072">
      <w:pPr>
        <w:jc w:val="both"/>
        <w:rPr>
          <w:rFonts w:ascii="Century Gothic" w:eastAsia="Times New Roman" w:hAnsi="Century Gothic" w:cs="Arial"/>
          <w:iCs/>
          <w:spacing w:val="-5"/>
          <w:kern w:val="36"/>
          <w:sz w:val="20"/>
          <w:szCs w:val="20"/>
          <w:lang w:eastAsia="hu-HU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 rendelet tartalmazza, hogy zöldhulladékot csak gyűjtőedényben vagy biológiailag lebomló zsákban lehet kihelyezni. Ezzel meglesz az összhang a </w:t>
      </w:r>
      <w:r w:rsidRPr="009A7072">
        <w:rPr>
          <w:rFonts w:ascii="Century Gothic" w:eastAsia="Times New Roman" w:hAnsi="Century Gothic" w:cs="Arial"/>
          <w:bCs/>
          <w:iCs/>
          <w:spacing w:val="-5"/>
          <w:kern w:val="36"/>
          <w:sz w:val="20"/>
          <w:szCs w:val="20"/>
          <w:lang w:eastAsia="hu-HU"/>
        </w:rPr>
        <w:t>hulladékgazdálkodási közszolgáltatás végzésének feltételeiről szóló 385/2014. (XII. 31.) Korm. rendelet 4. §-ának a zöldhulladékra vonatkozó előírásával:</w:t>
      </w:r>
    </w:p>
    <w:p w:rsidR="009A7072" w:rsidRPr="009A7072" w:rsidRDefault="009A7072" w:rsidP="009A7072">
      <w:pPr>
        <w:shd w:val="clear" w:color="auto" w:fill="FFFFFF"/>
        <w:contextualSpacing/>
        <w:jc w:val="both"/>
        <w:rPr>
          <w:rFonts w:ascii="Century Gothic" w:eastAsia="Times New Roman" w:hAnsi="Century Gothic" w:cs="Arial"/>
          <w:sz w:val="20"/>
          <w:szCs w:val="20"/>
          <w:lang w:eastAsia="hu-HU"/>
        </w:rPr>
      </w:pPr>
      <w:r w:rsidRPr="009A7072">
        <w:rPr>
          <w:rFonts w:ascii="Century Gothic" w:eastAsia="Times New Roman" w:hAnsi="Century Gothic" w:cs="Arial"/>
          <w:bCs/>
          <w:sz w:val="20"/>
          <w:szCs w:val="20"/>
          <w:u w:val="single"/>
          <w:vertAlign w:val="superscript"/>
          <w:lang w:eastAsia="hu-HU"/>
        </w:rPr>
        <w:t> </w:t>
      </w:r>
      <w:r w:rsidRPr="009A7072">
        <w:rPr>
          <w:rFonts w:ascii="Century Gothic" w:eastAsia="Times New Roman" w:hAnsi="Century Gothic" w:cs="Arial"/>
          <w:sz w:val="20"/>
          <w:szCs w:val="20"/>
          <w:lang w:eastAsia="hu-HU"/>
        </w:rPr>
        <w:t> A képződés helyén a zöldhulladékot a zöldhulladék elkülönített gyűjtésének céljára gyártott gyűjtőedényben vagy biológiailag lebomló hulladékgyűjtő zsákban kell gyűjteni.</w:t>
      </w:r>
    </w:p>
    <w:p w:rsidR="009A7072" w:rsidRPr="009A7072" w:rsidRDefault="009A7072" w:rsidP="009A7072">
      <w:pPr>
        <w:shd w:val="clear" w:color="auto" w:fill="FFFFFF"/>
        <w:ind w:firstLine="240"/>
        <w:contextualSpacing/>
        <w:jc w:val="both"/>
        <w:rPr>
          <w:rFonts w:ascii="Century Gothic" w:eastAsia="Times New Roman" w:hAnsi="Century Gothic" w:cs="Arial"/>
          <w:i/>
          <w:sz w:val="20"/>
          <w:szCs w:val="20"/>
          <w:lang w:eastAsia="hu-HU"/>
        </w:rPr>
      </w:pP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Meg kell határoznia az önkormányzatnak a településen választható gyűjtőedény méreteket.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Jelenleg településenként eltérőek a szüneteltetés feltételei, több rendeletben utólagos igazolás nélkül lehet kérni, ez visszaélésre ad lehetőséget.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 javaslat szerint a szüneteltetést legalább 6 hónapos időtartamra lehet kérni, és az ingatlan használaton kívüliségének tényét utólagosan közműszámlával kell igazolni. Az ügyfelek részére </w:t>
      </w:r>
      <w:r w:rsidRPr="009A7072">
        <w:rPr>
          <w:rFonts w:ascii="Century Gothic" w:hAnsi="Century Gothic" w:cs="Arial"/>
          <w:sz w:val="20"/>
          <w:szCs w:val="20"/>
        </w:rPr>
        <w:lastRenderedPageBreak/>
        <w:t>egyszerűbbé teszi az igazolást az a lehetőség, hogy maguk készíthetnek a víz- vagy villanyóráról felvételt, a felvétel készítés dátumát aznapi újsággal kell igazolni. A koronavírus miatt a közműszolgáltatók nem vállaltak leolvasást, ezért a 2020. évben is lehetőség volt a szüneteltetés ilyen módon történő igazolására, az ügyfelek és a szolgáltató szempontjából is egyszerű és jó módszer.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Azokon a településeken, ahol az ingatlan nyilvántartás szerint van üdülő vagy hétvégi ház jellegű épület, az általuk kötelezően igénybe veendő időszakot meg kell határozni, ennek az időszaknak legalább 6 hónapnak kell lennie.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Az elkülönítetten gyűjtött vegyes csomagolási hulladékok és az üveghulladék gyűjtésének, kihelyezésének a feltételei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 szelektív hulladékot vagy gyűjtőedényben (a 240 literes kuka, vagy az ingatlanhasználó által megvásárolt bármekkora sárga edény) vagy a szolgáltató által biztosított feliratos, átlátszó zsákban lehet kihelyezni. A feliratos zsákból 1 db cserezsákot biztosít a szolgáltató, ha ennél többre van igény, akkor az megvásárolható lesz (2021. februártól) a többlethulladékos zsákot értékesítő boltokban is.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Az üveghulladék zöld színű gyűjtőedényben vagy a szolgáltató által biztosított feliratos, zöldszínű zsákban kell kihelyezni. A feliratos zsákból 1 db cserezsákot biztosít a szolgáltató, ha ennél többre van igény, akkor az szintén megvásárolható lesz a többlethulladékos zsákot értékesítő boltokban 2021. februártól.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Tehát a rendelet értelmében a szelektív hulladékot csak gyűjtőedényben vagy feliratos zsákban lehet kihelyezni mennyiségi korlátozás nélkül, de pl. fekete vagy nem feliratos zsákban nem. A nem megfelelően kihelyezett hulladék nem kerül elszállításra.</w:t>
      </w:r>
    </w:p>
    <w:p w:rsidR="009A7072" w:rsidRPr="009A7072" w:rsidRDefault="009A7072" w:rsidP="009A7072">
      <w:pPr>
        <w:shd w:val="clear" w:color="auto" w:fill="FFFFFF"/>
        <w:ind w:firstLine="240"/>
        <w:contextualSpacing/>
        <w:jc w:val="both"/>
        <w:rPr>
          <w:rFonts w:ascii="Century Gothic" w:eastAsia="Times New Roman" w:hAnsi="Century Gothic" w:cs="Arial"/>
          <w:i/>
          <w:sz w:val="20"/>
          <w:szCs w:val="20"/>
          <w:lang w:eastAsia="hu-HU"/>
        </w:rPr>
      </w:pP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A zöldhulladék gyűjtésének, kihelyezésének a feltételei: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A </w:t>
      </w:r>
      <w:r w:rsidRPr="009A7072">
        <w:rPr>
          <w:rFonts w:ascii="Century Gothic" w:hAnsi="Century Gothic" w:cs="Arial"/>
          <w:sz w:val="20"/>
          <w:szCs w:val="20"/>
        </w:rPr>
        <w:t>házhoz menő zöld</w:t>
      </w:r>
      <w:r>
        <w:rPr>
          <w:rFonts w:ascii="Century Gothic" w:hAnsi="Century Gothic" w:cs="Arial"/>
          <w:sz w:val="20"/>
          <w:szCs w:val="20"/>
        </w:rPr>
        <w:t xml:space="preserve">hulladék gyűjtés </w:t>
      </w:r>
      <w:r w:rsidRPr="009A7072">
        <w:rPr>
          <w:rFonts w:ascii="Century Gothic" w:hAnsi="Century Gothic" w:cs="Arial"/>
          <w:sz w:val="20"/>
          <w:szCs w:val="20"/>
        </w:rPr>
        <w:t>csak barna színű gyűjtőedényben vagy a szolgáltató által forgalmazott biológiailag lebomló, feliratos zsákban lehet majd kihelyezni a zöldhulladékot mennyiségi korlátozás nélkül. A nyesedéket kötegelni kell a megadott méretben. Tehát a rendelet értelmében a zöldhulladékot csak gyűjtőedényben vagy biológiailag lebomló zsákban lehet kihelyezni mennyiségi korlátozás nélkül, de pl. fekete vagy bármilyen biológiailag nem lebomló zsákban nem. A nem megfelelően kihelyezett hulladék nem kerül elszállításra.</w:t>
      </w:r>
    </w:p>
    <w:p w:rsidR="009A7072" w:rsidRPr="009A7072" w:rsidRDefault="009A7072" w:rsidP="009A7072">
      <w:pPr>
        <w:jc w:val="both"/>
        <w:rPr>
          <w:rFonts w:ascii="Century Gothic" w:hAnsi="Century Gothic"/>
          <w:sz w:val="20"/>
          <w:szCs w:val="20"/>
        </w:rPr>
      </w:pP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A lomhulladék gyűjtésének, kihelyezésének a feltételei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Egyértelműen meghatározásra került, hogy a lomtalanítást csak a természetes személy ingatlanhasználók vehetik igénybe a  Ht. 2.§. (1) bek. 39 pontja alapján.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 xml:space="preserve">Más szolgáltatóknál már jól működő módon, bevezetésre kerülne a lomtalanítás igénybevételéhez az előzetes regisztráció. Ez azt jelenti, hogy a szolgáltató honlapján, telefonon vagy egy papír alapú nyomtatvány kitöltésével az ingatlan használó jelzi, hogy igénybe kívánja venni a lomtalanítást. A szolgáltató ellenőrzi, hogy jogosult-e a szolgáltatásra (szerepel díjfizetőként, nem szüneteltet, nem vállalkozás, stb.). Csak a beregisztrált ingatlanhasználóktól lesz elszállítva a lom hulladék. </w:t>
      </w:r>
    </w:p>
    <w:p w:rsidR="009A7072" w:rsidRPr="009A7072" w:rsidRDefault="009A7072" w:rsidP="009A7072">
      <w:pPr>
        <w:jc w:val="both"/>
        <w:rPr>
          <w:rFonts w:ascii="Century Gothic" w:hAnsi="Century Gothic" w:cs="Arial"/>
          <w:sz w:val="20"/>
          <w:szCs w:val="20"/>
        </w:rPr>
      </w:pPr>
      <w:r w:rsidRPr="009A7072">
        <w:rPr>
          <w:rFonts w:ascii="Century Gothic" w:hAnsi="Century Gothic" w:cs="Arial"/>
          <w:sz w:val="20"/>
          <w:szCs w:val="20"/>
        </w:rPr>
        <w:t>Pontosan meghatározásra kerültek a lom hulladék körébe tartozó hulladékok is.</w:t>
      </w:r>
    </w:p>
    <w:p w:rsidR="009A7072" w:rsidRDefault="009A7072" w:rsidP="009A7072">
      <w:pPr>
        <w:jc w:val="both"/>
        <w:rPr>
          <w:rFonts w:ascii="Century Gothic" w:hAnsi="Century Gothic"/>
          <w:sz w:val="20"/>
          <w:szCs w:val="20"/>
        </w:rPr>
      </w:pPr>
    </w:p>
    <w:p w:rsidR="0001603A" w:rsidRPr="009A7072" w:rsidRDefault="0001603A" w:rsidP="009A7072">
      <w:pPr>
        <w:jc w:val="both"/>
        <w:rPr>
          <w:rFonts w:ascii="Century Gothic" w:hAnsi="Century Gothic"/>
          <w:sz w:val="20"/>
          <w:szCs w:val="20"/>
        </w:rPr>
      </w:pPr>
    </w:p>
    <w:p w:rsidR="009A7072" w:rsidRDefault="009A7072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BB3B14" w:rsidRDefault="00BB3B14" w:rsidP="00BB3B14">
      <w:pPr>
        <w:pStyle w:val="Szvegtrzs"/>
        <w:spacing w:after="0" w:line="240" w:lineRule="auto"/>
        <w:rPr>
          <w:rFonts w:ascii="Cambria" w:hAnsi="Cambria"/>
          <w:b/>
          <w:bCs/>
        </w:rPr>
      </w:pP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Balatonberény Község Önkormányzata Képviselő-testületének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.../2021. (...) önkormányzati rendelete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a települési hulladékgazdálkodási közszolgáltatásról</w:t>
      </w:r>
    </w:p>
    <w:p w:rsidR="00BB3B14" w:rsidRPr="00A10B5F" w:rsidRDefault="00BB3B14" w:rsidP="00BB3B14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Balatonberény Község Önkormányzat Képviselő-testülete a hulladékról szóló 2012. évi CLXXXV. törvény 88. § (4) bekezdésében kapott felhatalmazás alapján az Alaptörvény 32. cikk (1) bekezdés a) pontjában biztosított hatáskörében, valamint a Magyarország helyi önkormányzatairól szóló 2011. évi CLXXXIX. törvény 13. § (1) bekezdésének és 19. pontjaiban meghatározott feladatkörében eljárva, a települési hulladékgazdálkodással kapcsolatos közszolgáltatásról a következőket rendeli el:</w:t>
      </w:r>
    </w:p>
    <w:p w:rsidR="00BB3B14" w:rsidRPr="00A10B5F" w:rsidRDefault="00BB3B14" w:rsidP="00BB3B14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lastRenderedPageBreak/>
        <w:t>I. Fejezet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Általános rendelkezések 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1. A rendelet hatálya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Balatonberény Község Önkormányzata (a továbbiakban: Önkormányzat) a jelen rendeletben foglaltak szerint gondoskodik az önkormányzati hulladékgazdálkodási közfeladat ellátásáról.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rendelet személyi hatálya Balatonberény közigazgatási területén levő ingatlant használó természetes személyekre és gazdálkodó szervezetekre, a hulladékról szóló 2012. évi CLXXXV. törvény (a továbbiakban: Ht.) 2. § (1) bekezdés 34. pontjában meghatározott ingatlanhasználóra (a továbbiakban: ingatlanhasználó), valamint a települési önkormányzatra és a hulladékgazdálkodási közszolgáltatóra terjed ki.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rendelet területi hatálya Balatonberény belterületére terjed ki.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rendelet hatálya kiterjed az önkormányzati hulladékgazdálkodási közszolgáltatás körébe tartozó hulladékra, amely a Ht. 42. § (1) bekezdés a)</w:t>
      </w:r>
      <w:r w:rsidRPr="00A10B5F">
        <w:rPr>
          <w:rFonts w:ascii="Cambria" w:hAnsi="Cambria"/>
          <w:i/>
          <w:iCs/>
        </w:rPr>
        <w:t xml:space="preserve">, </w:t>
      </w:r>
      <w:r w:rsidRPr="00A10B5F">
        <w:rPr>
          <w:rFonts w:ascii="Cambria" w:hAnsi="Cambria"/>
        </w:rPr>
        <w:t>b)</w:t>
      </w:r>
      <w:r w:rsidRPr="00A10B5F">
        <w:rPr>
          <w:rFonts w:ascii="Cambria" w:hAnsi="Cambria"/>
          <w:i/>
          <w:iCs/>
        </w:rPr>
        <w:t xml:space="preserve">, </w:t>
      </w:r>
      <w:r w:rsidRPr="00A10B5F">
        <w:rPr>
          <w:rFonts w:ascii="Cambria" w:hAnsi="Cambria"/>
        </w:rPr>
        <w:t>c)</w:t>
      </w:r>
      <w:r w:rsidRPr="00A10B5F">
        <w:rPr>
          <w:rFonts w:ascii="Cambria" w:hAnsi="Cambria"/>
          <w:i/>
          <w:iCs/>
        </w:rPr>
        <w:t xml:space="preserve"> és </w:t>
      </w:r>
      <w:r w:rsidRPr="00A10B5F">
        <w:rPr>
          <w:rFonts w:ascii="Cambria" w:hAnsi="Cambria"/>
        </w:rPr>
        <w:t>e) pontjában meghatározottak szerint összegyűjtött, átvett, elszállított hulladék, ideértve az ilyen hulladék kezeléséből származó másodlagos hulladékot is.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2. Közszolgáltató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Balatonberény Község Önkormányzata a hulladékgazdálkodással kapcsolatos feladatainak ellátása érdekében tagja a Délnyugat Balatoni Hulladékgazdálkodási Társulásnak, amely együttműködésnek a tartalmát és feltételeit a Társulási Megállapodás rögzíti.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Balatonberény közigazgatási területén az önkormányzati hulladékgazdálkodási közfeladat ellátását az önkormányzat a DBR Dél-Balatoni Régió Nonprofit Korlátolt Felelősségű Társaságnak (székhely: 8600 Siófok, Papfődi u. 3</w:t>
      </w:r>
      <w:r w:rsidRPr="00A10B5F">
        <w:rPr>
          <w:rFonts w:ascii="Cambria" w:hAnsi="Cambria"/>
          <w:b/>
          <w:bCs/>
        </w:rPr>
        <w:t>., továbbiakban DBR</w:t>
      </w:r>
      <w:r w:rsidRPr="00A10B5F">
        <w:rPr>
          <w:rFonts w:ascii="Cambria" w:hAnsi="Cambria"/>
        </w:rPr>
        <w:t>), a Délnyugat Balatoni Hulladékgazdálkodási Társulással megkötött hulladékgazdálkodási közszolgáltatási szerződése útján biztosítja.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(3) A hulladékgazdálkodási közszolgáltatási tevékenységet Balatonberény településen a DBR alvállalkozója, a PELSO-KOM Hulladékgazdálkodási Nonprofit Kft. (8693 Lengyeltóti, Zrínyi u. 1-3, honlap: www.pelsokom.hu) bevonásával </w:t>
      </w:r>
      <w:r w:rsidRPr="00A10B5F">
        <w:rPr>
          <w:rFonts w:ascii="Cambria" w:hAnsi="Cambria"/>
          <w:b/>
          <w:bCs/>
        </w:rPr>
        <w:t>(továbbiakban: közszolgáltató</w:t>
      </w:r>
      <w:r w:rsidRPr="00A10B5F">
        <w:rPr>
          <w:rFonts w:ascii="Cambria" w:hAnsi="Cambria"/>
        </w:rPr>
        <w:t>) végzi.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önkormányzat közigazgatási területén keletkező, a közszolgáltatás körébe tartozó hulladék gyűjtését, szállítását, az ügyfélszolgálati feladatok ellátását, ügyfelek adatainak nyilvántartását a közszol</w:t>
      </w:r>
      <w:r w:rsidR="0001603A">
        <w:rPr>
          <w:rFonts w:ascii="Cambria" w:hAnsi="Cambria"/>
        </w:rPr>
        <w:t>gáltató</w:t>
      </w:r>
      <w:r w:rsidRPr="00A10B5F">
        <w:rPr>
          <w:rFonts w:ascii="Cambria" w:hAnsi="Cambria"/>
        </w:rPr>
        <w:t>, a hulladék kezelését a DBR végzi.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települési hulladék rendszeres elszállítására, kezelésére vonatkozó közszolgáltatási jogviszony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természetes személy ingatlanhasználó esetében a közszolgáltatás igénybevételével jön létre, valamint akkor is, ha a közszolgáltató a közszolgáltatás ellátását felajánlja, rendelkezésre állását igazolja.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lastRenderedPageBreak/>
        <w:t>b)</w:t>
      </w:r>
      <w:r w:rsidRPr="00A10B5F">
        <w:rPr>
          <w:rFonts w:ascii="Cambria" w:hAnsi="Cambria"/>
        </w:rPr>
        <w:tab/>
        <w:t>gazdálkodó szervezet ingatlanhasználó esetében egyedi szerződés aláírásával jön létre. A közszolgáltatás igénybevételére vonatkozó szerződést a működésének megkezdése előtt, a működés teljes időtartamára kell megkötnie. Kétség esetén a működés idejét a gazdálkodó szervezetnek kell bizonyítani.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3. Hulladékgazdálkodási közszolgáltatási szerződés tartalmi elemei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3.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A hulladékgazdálkodási közszolgáltatási szerződés tartalmi elemeire a Ht. 34. § (5) bekezdése, a Ht. 37. §-a, valamint a 317/2013 (VIII.28) Korm.rendelet 5. §-a az irányadó.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4. Értelmező rendelkezések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4.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E rendeletben használt fogalmak értelmezése tekintetében a Ht. 2. § (1) bekezdésében foglaltak az irányadók.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E rendelet alkalmazásában: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Ingatlan:</w:t>
      </w:r>
      <w:r w:rsidRPr="00A10B5F">
        <w:rPr>
          <w:rFonts w:ascii="Cambria" w:hAnsi="Cambria"/>
        </w:rPr>
        <w:t xml:space="preserve"> Balatonberény közigazgatási területén hulladékgazdálkodási közszolgáltatással ellátott lakóingatlan, üdülőingatlan és nem lakás céljára szolgáló ingatlan.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L</w:t>
      </w:r>
      <w:r w:rsidRPr="00A10B5F">
        <w:rPr>
          <w:rFonts w:ascii="Cambria" w:hAnsi="Cambria"/>
          <w:i/>
          <w:iCs/>
        </w:rPr>
        <w:t xml:space="preserve">akóingatlan: </w:t>
      </w:r>
      <w:r w:rsidRPr="00A10B5F">
        <w:rPr>
          <w:rFonts w:ascii="Cambria" w:hAnsi="Cambria"/>
        </w:rPr>
        <w:t>olyan ingatlan, amely az ingatlan-nyilvántartásban az ingatlan rendeltetése szerint lakásként, lakóházként, társasházi lakásként, vagy szövetkezeti lakásként van nyilvántartva.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 xml:space="preserve">Üdülőingatlan: </w:t>
      </w:r>
      <w:r w:rsidRPr="00A10B5F">
        <w:rPr>
          <w:rFonts w:ascii="Cambria" w:hAnsi="Cambria"/>
        </w:rPr>
        <w:t>olyan ingatlan, amely az ingatlan-nyilvántartásban az ingatlan rendeltetése szerint üdülőként, üdülőépületként, vagy hétvégi házként van nyilvántartva.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Lakóegység:</w:t>
      </w:r>
    </w:p>
    <w:p w:rsidR="00BB3B14" w:rsidRPr="00A10B5F" w:rsidRDefault="00BB3B14" w:rsidP="00BB3B14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da)</w:t>
      </w:r>
      <w:r w:rsidRPr="00A10B5F">
        <w:rPr>
          <w:rFonts w:ascii="Cambria" w:hAnsi="Cambria"/>
        </w:rPr>
        <w:tab/>
        <w:t>az ingatlan nyilvántartásba bejegyzett alapító okirattal rendelkező társasházak helyiségei, helyiségcsoportjai, melyek önálló rendeltetési egységet alkotnak.</w:t>
      </w:r>
    </w:p>
    <w:p w:rsidR="00405308" w:rsidRDefault="00BB3B14" w:rsidP="007B2E2C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db)</w:t>
      </w:r>
      <w:r w:rsidRPr="00A10B5F">
        <w:rPr>
          <w:rFonts w:ascii="Cambria" w:hAnsi="Cambria"/>
        </w:rPr>
        <w:tab/>
        <w:t>az egy építési telken elhelyezett olyan kétlakásos épület, amely épületszerkezetileg kétegységes társasháznak minősül, de nem rendelkezik földhivatalnál bejegyzett alapító okirattal. Két lakóegységnek minősül az a kétlakásos épület, ahol a lakásrészeket egymástól nyílás nélküli közös fal választja el műszakilag, függetlenül attól, hogy a két különálló lakóegység, egy- vagy több személy tulajdonában van.</w:t>
      </w:r>
    </w:p>
    <w:p w:rsidR="00405308" w:rsidRPr="00A10B5F" w:rsidRDefault="00405308" w:rsidP="00BB3B14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5. Adatkezelésre vonatkozó szabályok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5.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adatkezelés célja a közszolgáltatással összefüggően az ingatlanhasználó személyének megállapításához, a közszolgáltatási díj behajtásához szükséges és arra alkalmas adatbázis létrehozása és működtetése.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(2) A rendelet alapján a közszolgáltatás igénybevételére köteles ingatlanhasználókról a közszolgáltató nyilvántartást vezet az azonosításhoz szükséges adatok feltüntetésével Az ingatlanhasználó a hulladékgazdálkodási közszolgáltatás folyamatos ellátásához szükséges személyes adatait (név, születési hely, születési idő, anyja neve) és – amennyiben az nem azonos a közszolgáltatás igénybevételének helyével – a levelezési címet köteles megadni, </w:t>
      </w:r>
      <w:r w:rsidRPr="00A10B5F">
        <w:rPr>
          <w:rFonts w:ascii="Cambria" w:hAnsi="Cambria"/>
        </w:rPr>
        <w:lastRenderedPageBreak/>
        <w:t>valamint a személyes adatainak változását a változást követően 15 napon belül a közszolgáltatónak bejelenteni.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Egyedi közszolgáltatási szerződés megkötéséhez a gazdálkodó szervezet a közszolgáltatást igénybe vevő nevét, adószámát, cégbírósági bejegyzés számát, a közszolgáltatási igénybevételének helyét, valamint a számlázási és postázási címet köteles a közszolgáltató rendelkezésére bocsátani.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közszolgáltató az ingatlanhasználó által közölt, közszolgáltatással összefüggő személyes adatokat az információs önrendelkezési jogról és az információszabadságról szóló 2011. évi CXII. törvény előírásainak megfelelően köteles kezelni.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(4) bekezdés alkalmazásában a közszolgáltató köteles megteremteni az adatkezelés személyi és tárgyi feltételeit, köteles gondoskodni az adatok biztonságáról, és köteles meghatározni azokat az eljárási szabályokat, amelyek az adat - és titokvédelmi szabályok érvényre juttatásához szükségesek.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közszolgáltató az ingatlanhasználó személyes adatai - az adatok tárolása kivételével – a szerződéses viszony létrejöttétől annak megszűnéséig, díjhátralék esetén a tartozás fennállásáig kezelheti. A jogviszony megszűnését követően a közszolgáltató a kezelt adatokat köteles megsemmisíteni.</w:t>
      </w:r>
    </w:p>
    <w:p w:rsidR="00405308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közszolgáltató a feladatának ellátása érdekében nyilvántartott adatokat – a Nemzeti Hulladékgazdálkodási Koordináló és Vagyonkezelő Zrt-n (a továbbiakban: NHKV Zrt.) és a behajtásra jogosult adóhatóságon kívül – harmadik félnek az Európai Parlament és Tanács (EU) 2016/679 rendeletének - (2016. április 27.) a természetes személyeknek a személyes adatok kezelése tekintetében történő védelméről és az ilyen adatok szabad áramlásáról, valamint a 95/46/EK rendelet hatályon kívül helyezéséről (általános adatvédelmi rendelet) – való jogszabályban leírtaknak megfelelően adhat.</w:t>
      </w:r>
    </w:p>
    <w:p w:rsidR="00405308" w:rsidRPr="00A10B5F" w:rsidRDefault="00405308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</w:p>
    <w:p w:rsidR="00BB3B14" w:rsidRPr="00A10B5F" w:rsidRDefault="00BB3B14" w:rsidP="00BB3B14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II. Fejezet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A hulladékgazdálkodási közszolgáltatás ellátásának rendje. A közszolgáltatással kapcsolatos jogok és kötelezettségek. 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6. Az ingatlanhasználó jogai és kötelezettségei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6.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ingatlanhasználó köteles a Ht. és e rendelet előírásait betartva a szervezett hulladékgazdálkodási közszolgáltatás igénybevételére, az ingatlanán keletkező vagy birtokába került hulladék e rendeletben előírtak szerinti elkülönített gyűjtésére, a közszolgáltatónak történő rendszeres átadására, a közszolgáltatás díjának megfizetésére.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ingatlan használója köteles a közszolgáltató által rendszeresített MSZ EN 840-1:2013 szabvány szerinti, gépi ürítésre alkalmas, vegyes hulladék gyűjtésére szolgáló gyűjtőedényzetet beszerezni, a települési vegyes hulladék gyűjtéséhez azt használni, karbantartásáról és tisztántartásáról, elhasználódás esetén pótlásáról gondoskodni, azt a közszolgáltató által rendelkezésre bocsátott, a használt gyűjtőedényzet méretének megfelelő azonosító matricával ellátni.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lastRenderedPageBreak/>
        <w:t>(3) Az ingatlanhasználó a hulladékgazdálkodási közszolgáltatásért hulladékgazdálkodási közszolgáltatási díjat fizet.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ingatlanhasználót nem terheli a (1) bekezdésben foglalt kötelezettség a beépítetlen ingatlana tekintetében.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7.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Az 6. § szerinti kötelezettség teljesítése során az ingatlanhasználó köteles: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az ingatlanán keletkező hulladék mennyiségét legkisebb mértékűre szorítani,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a háztartásban képződő vegyes,- zöld-, lom- és az anyagában hasznosítható csomagolási (papír-, üveg-, műanyag-, fém) hulladékait az ingatlanán elkülönítetten gyűjteni,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  <w:t>a képződés helyén a zöldhulladékot elsősorban házi komposztálás útján komposztálni,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  <w:t>ha a zöldhulladékot házi komposztálás útján nem komposztálja, a zöldhulladék elkülönített gyűjtésének céljára gyártott gyűjtőedényzetben vagy biológiailag lebomló hulladékgyűjtő zsákban gyűjteni és a közszolgáltatónak szállítási napokon átadni,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a 3 cm-nél nem vastagabb ág és nyesedék zöldhulladékot elszállításhoz legfeljebb 1 méternél nem hosszabb darabokban kötegelni, a falevelet és kaszálékot gyűjtőedényzetben vagy zsákolva, zsákonként és kötegenként maximum 20 kg tömeg betartásával átadni,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  <w:t>a hulladékot – különös tekintettel a hulladék további kezelésére – az elszállításra való átadás-átvételig ingatlanán gyűjteni, tárolni, ennek során megfelelő gondossággal eljárni annak érdekében, hogy a hulladék mások életét, testi épségét, egészségét és jó közérzetét ne veszélyeztesse, a természetes és épített környezetet és a közbiztonságot ne zavarja,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g)</w:t>
      </w:r>
      <w:r w:rsidRPr="00A10B5F">
        <w:rPr>
          <w:rFonts w:ascii="Cambria" w:hAnsi="Cambria"/>
        </w:rPr>
        <w:tab/>
        <w:t>a közszolgáltatótól beszerzett vagy a kereskedelemben vásárolt MSZ EN 840-1:2013 szabvány szerinti, a közszolgáltató által minden évben megküldött „matricával” ellátott</w:t>
      </w:r>
    </w:p>
    <w:p w:rsidR="00BB3B14" w:rsidRPr="00A10B5F" w:rsidRDefault="00BB3B14" w:rsidP="00BB3B14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ga)</w:t>
      </w:r>
      <w:r w:rsidRPr="00A10B5F">
        <w:rPr>
          <w:rFonts w:ascii="Cambria" w:hAnsi="Cambria"/>
        </w:rPr>
        <w:tab/>
        <w:t>60 literes,</w:t>
      </w:r>
    </w:p>
    <w:p w:rsidR="00BB3B14" w:rsidRPr="00A10B5F" w:rsidRDefault="00BB3B14" w:rsidP="00BB3B14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gb)</w:t>
      </w:r>
      <w:r w:rsidRPr="00A10B5F">
        <w:rPr>
          <w:rFonts w:ascii="Cambria" w:hAnsi="Cambria"/>
        </w:rPr>
        <w:tab/>
        <w:t>80 literes,</w:t>
      </w:r>
    </w:p>
    <w:p w:rsidR="00BB3B14" w:rsidRPr="00A10B5F" w:rsidRDefault="00BB3B14" w:rsidP="00BB3B14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gc)</w:t>
      </w:r>
      <w:r w:rsidRPr="00A10B5F">
        <w:rPr>
          <w:rFonts w:ascii="Cambria" w:hAnsi="Cambria"/>
        </w:rPr>
        <w:tab/>
        <w:t>110 literes vagy 120 literes (négyzet keresztmetszetű kerekes)</w:t>
      </w:r>
    </w:p>
    <w:p w:rsidR="00BB3B14" w:rsidRPr="00A10B5F" w:rsidRDefault="00BB3B14" w:rsidP="00BB3B14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gd)</w:t>
      </w:r>
      <w:r w:rsidRPr="00A10B5F">
        <w:rPr>
          <w:rFonts w:ascii="Cambria" w:hAnsi="Cambria"/>
        </w:rPr>
        <w:tab/>
        <w:t>1100 literes hulladékgyűjtő edényzetet közszolgáltatáshoz igénybe venni,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h)</w:t>
      </w:r>
      <w:r w:rsidRPr="00A10B5F">
        <w:rPr>
          <w:rFonts w:ascii="Cambria" w:hAnsi="Cambria"/>
        </w:rPr>
        <w:tab/>
        <w:t>a gyűjtőedényzeteket a hulladék elszállítása céljából: nappali szállítás esetén a szállítás napján reggel 7 óráig, éjszakai szállítás esetén 18 óráig a közterületen, a begyűjtést végző gépjárművel megközelíthető és ürítésre alkalmas közterületen elhelyezni,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i)</w:t>
      </w:r>
      <w:r w:rsidRPr="00A10B5F">
        <w:rPr>
          <w:rFonts w:ascii="Cambria" w:hAnsi="Cambria"/>
        </w:rPr>
        <w:tab/>
        <w:t>az elszállítandó hulladékot közterületen úgy elhelyezni, hogy az a jármű és gyalogos forgalmat ne akadályozza, a zöldterületeket és a növényzetet ne károsítsa, ne járjon baleset vagy károkozás veszélyének előidézésével,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j)</w:t>
      </w:r>
      <w:r w:rsidRPr="00A10B5F">
        <w:rPr>
          <w:rFonts w:ascii="Cambria" w:hAnsi="Cambria"/>
        </w:rPr>
        <w:tab/>
        <w:t>a közterület szennyezésének elkerülése érdekében a hulladék elszállítása céljából kihelyezett gyűjtőedényzet fedelét lecsukni,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k)</w:t>
      </w:r>
      <w:r w:rsidRPr="00A10B5F">
        <w:rPr>
          <w:rFonts w:ascii="Cambria" w:hAnsi="Cambria"/>
        </w:rPr>
        <w:tab/>
        <w:t>a hulladékot a gyűjtőedényzetben — gépi tömörítés nélkül — úgy elhelyezni, hogy az az edényzet mozgatásakor és ürítésekor ne szóródjon, valamint a gépi ürítést ne akadályozza,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l)</w:t>
      </w:r>
      <w:r w:rsidRPr="00A10B5F">
        <w:rPr>
          <w:rFonts w:ascii="Cambria" w:hAnsi="Cambria"/>
        </w:rPr>
        <w:tab/>
        <w:t>télen az átvételi hely megközelíthetőségéről, valamint a gyűjtőedényzet kezelése érdekében érintett útszakasz (1 méter széles átjáró az úttest és az átvételi hely között) hó- és síkosság-mentesítéséről gondoskodni,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m)</w:t>
      </w:r>
      <w:r w:rsidRPr="00A10B5F">
        <w:rPr>
          <w:rFonts w:ascii="Cambria" w:hAnsi="Cambria"/>
        </w:rPr>
        <w:tab/>
        <w:t>a gyűjtőedényzeteket az ürítések közötti időszakban az ingatlana területén belül elhelyezni,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n)</w:t>
      </w:r>
      <w:r w:rsidRPr="00A10B5F">
        <w:rPr>
          <w:rFonts w:ascii="Cambria" w:hAnsi="Cambria"/>
        </w:rPr>
        <w:tab/>
        <w:t>az e rendeletben meghatározott vegyes települési hulladék gyűjtésére szolgáló gyűjtőedényzet tisztán-tartásáról, fertőtlenítésről gondoskodni,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lastRenderedPageBreak/>
        <w:t>o)</w:t>
      </w:r>
      <w:r w:rsidRPr="00A10B5F">
        <w:rPr>
          <w:rFonts w:ascii="Cambria" w:hAnsi="Cambria"/>
        </w:rPr>
        <w:tab/>
        <w:t>a háztartásokban keletkezett veszélyes hulladékot a települési hulladék más összetevőitől elkülönítetten gyűjteni és a veszélyes hulladék átvételére feljogosított hulladékkezelőnek átadni.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8.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60 literes gyűjtőedényzetet, a lakóingatlant egyedül és életvitelszerűen használó természetes személy ingatlanhasználó vehet igénybe, csak abban az esetben, ha annak tényét, hogy a lakóingatlant egyedül és életvitelszerűen használja, a települési önkormányzat által kiadott igazolás útján a közszolgáltató részére bizonyítja. Az igazolás kiállítására vonatkozó kérelmet a Balatonkeresztúri Közös Önkormányzati Hivatal Balatonberényi Kirendeltségéhez kell benyújtani. (továbbiakban: önkormányzati hivatal).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települési önkormányzat jegyzője az általa a Vizuál Regiszter program keretében vezetett helyi nyilvántartás adatai közül jelen szakasz szabályai alapján a hulladékgazdálkodási közszolgáltatás végzésének feltételeiről szóló 385/2014. (XII.31.) Korm. rendelet (a továbbiakban: Korm.rend.) 7. § (1b) bekezdésében meghatározott feladat ellátásához a polgárok személyi adatainak és lakcímének nyilvántartásáról szóló 1992. évi LXVI. törvény 17. § (2) b) pontjában meghatározott adatokat átadja a települési önkormányzat képviselő- testületének helyi nyilvántartás vezetéséhez.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Korm. rend. 7. § (1b) bekezdésben meghatározott igazolás kiadása esetén a lakóingatlant egyedül használónak kell tekinti azt a természetes személyt, aki az (2) bekezdésben meghatározott nyilvántartás szerint az adott települési címen egyedül él. A lakóingatlant életvitelszerűen használónak pedig az a természetes személy tekinthető, aki esetében kettő másik, magát igazoló természetes személy írásban, az Önkormányzati Hivatal ügyintézője felé nyilatkozatával ezt a tényt igazolja.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igazolásnak tartalmaznia kell: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 xml:space="preserve"> a természetes személy ingatlanhasználó nevét, természetes személyazonosító adatait és bejelentett lakcímét,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 xml:space="preserve"> a kérelmezett ingatlan adatait.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igazolás érvényességi ideje 5 év.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Amennyiben az igazolás érvényességi ideje alatt az igazolás kiadására vonatkozó feltételekben változás következik be, az ingatlanhasználó köteles azt 15 napon belül Balatonberény Község Polgármesterének bejelenteni.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Az</w:t>
      </w:r>
      <w:r w:rsidR="005A06B4">
        <w:rPr>
          <w:rFonts w:ascii="Cambria" w:hAnsi="Cambria"/>
        </w:rPr>
        <w:t>,</w:t>
      </w:r>
      <w:r w:rsidRPr="00A10B5F">
        <w:rPr>
          <w:rFonts w:ascii="Cambria" w:hAnsi="Cambria"/>
        </w:rPr>
        <w:t xml:space="preserve"> aki a (6) bekezdés szerinti bejelentési kötelezettségét elmulasztja, köteles a közszolgáltatási díj számlázására és beszedésére jogosult részére visszamenőleg, a 60 literes és az igazolási kérelem benyújtásakor használt edényzet közötti közszolgáltatási díjkülönbözetét kamattal növelten egy összegben megfizetni.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képviselő-testület az e szakaszban meghatározott igazolás kiadására irányuló hatáskörét átruházza a polgármesterre.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9.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(1) Ha a gyűjtőedényzetben olyan nedves hulladékot helyeztek el, amely az edényzetben összetömörödött vagy befagyott, vagy az edényzetben lévő hulladékot úgy összepréselték, tömörítették, hogy emiatt az edényzetet üríteni nem lehet, az ingatlanhasználó a </w:t>
      </w:r>
      <w:r w:rsidRPr="00A10B5F">
        <w:rPr>
          <w:rFonts w:ascii="Cambria" w:hAnsi="Cambria"/>
        </w:rPr>
        <w:lastRenderedPageBreak/>
        <w:t>közszolgáltató felhívására köteles az edényzetet üríthetővé, használhatóvá tenni. Köteles továbbá az így okozott esetleges kárt megtéríteni.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hulladékgyűjtő edényzetek beszerzéséről az ingatlanhasználó köteles gondoskodni.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Ha a gyűjtőedényzet ürítése az ingatlanhasználó hibájából marad el, akkor az ürítésre csak a következő szállítási napon kerül sor.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hulladékgyűjtő edényzet mellé többlet vegyes települési hulladékot csak a közszolgáltató alvállalkozói logójával ellátott többlethulladékos zsákban lehet kihelyezni. A hulladékgyűjtő zsák a gyűjtőedényzetben már el nem helyezhető „többlet hulladék” elhelyezésére szolgál. A logóval jelzett zsák ára tartalmazza a települési szilárd hulladék elszállításának, kezelésének, ártalmatlanításának költségét A zsák ára nem része a negyedéves hulladékgazdálkodási közszolgáltatási díjnak.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Többlet vegyes települési hulladék gyűjtésére szolgáló logóval ellátott hulladékgyűjtő zsák a közszolgáltató alvállalkozójától, vagy a vele szerződésben álló kereskedelmi egységtől szerezhető be.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Többlethulladékos zsák csak bekötve helyezhető ki a közterületre.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Tilos a gyűjtőedényzetbe folyékony, mérgező, veszélyes, robbanó vagy olyan egyéb hulladékot rakni (forró hamu, állati tetem, folyékony étolajmaradék, kő, törmelék), amely az ürítésnél a környezetet, a közszolgáltató dolgozóinak egészségét, testi épségét vagy életét veszélyezteti, vagy begyűjtése során a gépkocsi műszaki berendezésében rongálódást idézhet elő, ártalmatlanítása során veszélyezteti a környezetet, vagy a hulladékkezelő telep műszaki berendezéseit. A tilalom megsértői az okozott kárt kötelesek megtéríteni. A gyűjtőedényzet használatánál ügyelni kell arra, hogy fedelük nehézség nélkül zárható legyen.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természetes személy ingatlanhasználó az 6. §. (1) bekezdésben szabályozottak mellett az elkülönítetten gyűjtött hulladékot a közszolgáltató által használt hulladékkezelő telepre, az ártalmatlanítás díjának ottani kiegyenlítésével külön engedély nélkül maga is elszállíthatja.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Az ingatlanhasználó, amennyiben közterületen, közterület - használati hozzájárulás alapján olyan árusító, szolgáltató vagy egyéb tevékenységet folytat, vagy kíván folytatni, amely a közszolgáltatás hatálya alá tartozó hulladék keletkezésével jár, köteles azt a közszolgáltatónak bejelenteni, és a közterületen végzendő tevékenység időtartamára a hulladék kezelésére szerződést kötni.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Közös edényzetet csak társasház, lakásszövetkezet használhat a közszolgáltatóval történt előzetes egyeztetés alapján.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7. A közszolgáltató jogai és kötelezettségei: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10.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közszolgáltató gondoskodik a hulladékgazdálkodási közszolgáltatás folyamatos és teljes körű ellátásáról az e rendeletben szabályozottak szerint, figyelemmel a közszolgáltatási szerződésében, és az Országos Hulladékgazdálkodási Közszolgáltatási Tervben (a továbbiakban: OHKT) leírt követelményekre.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lastRenderedPageBreak/>
        <w:t>(2) Gondoskodik a hulladékgazdálkodási közszolgáltatás körébe tartozó hulladék begyűjtéséről, elszállításáról, kezeléséről.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közszolgáltató a közszolgáltatás körébe tartozó hulladék előkezelését, kezelését, ártalmatlanítását elsődlegesen a Somi Regionális Hulladékkezelő Központban, Marcaliban, a Marcali Regionális Hulladékkezelő Központban valamint a DRV Zrt. Balatonlellei Szennyvíztisztító telepének területén üzemelő komposztáló telepen végzi.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közszolgáltató közszolgáltatással összefüggő adatszolgáltatási és nyilvántartási rendszert működtet.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közszolgáltató az ügyfelek számára könnyen hozzáférhető ügyfélszolgálatot és tájékoztatási rendszert működtet. Valamennyi hulladék elszállításának járatnapjait a közszolgáltató a honlapján teszi közzé: www.pelsokom.hu.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11.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közszolgáltató hulladékgyűjtéshez szükséges szabványos edényzetet igény szerint, térítés ellenében biztosítja a szolgáltatást igénybe vevőknek.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közszolgáltató nem köteles elszállítani a települési hulladékot, ha azt a közterületre nem a közszolgáltató által kibocsátott, a használt gyűjtőedényzet méretének megfelelő matricával ellátott gyűjtőedényzetben helyezték ki járatnapon.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közszolgáltató a közszolgáltatásban biztosított gyűjtőedényzet méretet meghaladó mennyiségű települési hulladékot nem köteles elszállítani, ha azt a közterületre nem a közszolgáltató által rendszeresített, logóval ellátott hulladékgyűjtő zsákban helyezték ki a járatnapon.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hulladékgyűjtő zsák a gyűjtőedényzetben már el nem helyezhető „többlet hulladék” elhelyezésére szolgál. A többlet vegyes hulladék gyűjtésére alkalmas, a közszolgáltató logójával ellátott hulladékgyűjtő zsákot a közszolgáltató biztosítja az ingatlanhasználók részére, külön díj ellenében.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többlet hulladék gyűjtésére szolgáló zsák beszerezhetőségét a közszolgáltató az értékesítési pontokon, a közszolgáltató ügyfélszolgálatán, valamint szerződéses értékesítő partnerei útján, díjfizetés ellenében biztosítja. A partnerek listája a www.pelsokom.hu honlapon elérhetők.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közszolgáltató biztosítja a járatterv szerinti gyűjtést, szállítást. Amennyiben valamilyen rendkívüli ok miatt az ütemezett gyűjtést nem tudja biztosítani a közszolgáltató, a rendkívüli ok megszűnését követő munkanapon, soron kívül pótolja azt.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közszolgáltató a gyűjtési programról éves ütemtervet (járatterv) készít, melyet a honlapján közzétesz, továbbá az ingatlanhasználókat évi egy alkalommal értesíti arról.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Ha a hulladékgazdálkodási közszolgáltatás körébe tartozó hulladék közszolgáltató által történő átvételekor, összegyűjtésekor, elszállításakor a hulladék a gyűjtőedényzetből kiesik vagy kiszóródik, a hulladék felszedéséről és elszállításáról, valamint a terület megtisztításáról gondoskodik.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lastRenderedPageBreak/>
        <w:t>(9) A közszolgáltató a kötelező közszolgáltatás körében megtagadhatja a települési hulladék elszállítását, ha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 xml:space="preserve"> az nem e rendeletben meghatározott gyűjtőedényzetben vagy a logóval ellátott műanyag zsákban kerül kihelyezésre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érzékszervi észleléssel megállapítható, hogy az olyan anyagot tartalmaz, amely a települési hulladékkal együtt nem gyűjthető, szállítható, vagy ártalmatlanítható,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  <w:t>a gyűjtőedényzet közterületen, oly módon került elhelyezésre, hogy azt a közszolgáltató munkavállalói csak jelentős nehézségek árán tudják a járművel megközelíteni,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  <w:t>gyűjtőedényzetben elhelyezett hulladék termelője nem beazonosítható,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a gyűjtőedényzet tartalma betömörített vagy befagyott,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  <w:t>ha a gazdálkodó szervezet nem rendelkezik érvényes, egyedi közszolgáltatási szerződéssel,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g)</w:t>
      </w:r>
      <w:r w:rsidRPr="00A10B5F">
        <w:rPr>
          <w:rFonts w:ascii="Cambria" w:hAnsi="Cambria"/>
        </w:rPr>
        <w:tab/>
        <w:t>ha az ingatlan közszolgáltatása szüneteltetés alatt áll,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h)</w:t>
      </w:r>
      <w:r w:rsidRPr="00A10B5F">
        <w:rPr>
          <w:rFonts w:ascii="Cambria" w:hAnsi="Cambria"/>
        </w:rPr>
        <w:tab/>
        <w:t>a közszolgáltató tőle független külső ok miatt (parkoló gépjárművek, útszelvénybe belógó faágak) akadályoztatva van, hogy az ingatlant megközelítse.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Az elhagyott vagy ellenőrizetlen körülmények között elhelyezett hulladékot- az önkormányzat külön megrendelésére - a közszolgáltató összegyűjti, elszállítja, gondoskodik az elhagyott vagy ellenőrizetlen körülmények között elhelyezett hulladék kezeléséről, a megkötött hulladékgazdálkodási közszolgáltatási szerződése alapján.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(11) A rendelet 1. mellékletében megjelölt hulladékszállítási időpontok esetleges rendkívüli ok miatti változásáról a közszolgáltató köteles az ingatlanhasználókat honlapján tájékoztatnai.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(12) A közszolgáltató a gyűjtőedényzet kiürítését a tőle elvárható gondossággal köteles végezni.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(13) A gyűjtőedényzetben esetlegesen okozott kárt annak javításával, vagy új gyűjtőedényzet biztosításával köteles megtéríteni.</w:t>
      </w:r>
    </w:p>
    <w:p w:rsidR="00405308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(14) A közszolgáltató kizárólag csak az általa rendszeresített szabványos gyűjtőedényzetben </w:t>
      </w:r>
      <w:r w:rsidRPr="00A10B5F">
        <w:rPr>
          <w:rFonts w:ascii="Cambria" w:hAnsi="Cambria"/>
          <w:i/>
          <w:iCs/>
        </w:rPr>
        <w:t xml:space="preserve">(négyzet keresztmetszetű gyűjtőedényzet) </w:t>
      </w:r>
      <w:r w:rsidRPr="00A10B5F">
        <w:rPr>
          <w:rFonts w:ascii="Cambria" w:hAnsi="Cambria"/>
        </w:rPr>
        <w:t>okozott kárért felel, amennyiben a gyűjtőedényzet károsodását nem az ingatlanhasználó okozta azzal, hogy a gyűjtőedényzet teherbíró képességét meghaladó mennyiségű települési hulladékot, vagy zöldhulladékot helyezett el benne, vagy ha a gyűjtőedényzet azért károsodott, mert az ingatlanhasználó által benne elhelyezett települési hulladék, vagy zöldhulladék belefagyott, beleragadt, vagy a hulladékot beletömörítették.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(15) Amennyiben a meghibásodás a közszolgáltatónak nem róható fel (nem szabvány gyűjtőedényzet használata), vagy a szabvány gyűjtőedényzet életkora az 5 évet meghaladta, a használhatatlan gyűjtőedényzet javítása vagy pótlása az ingatlanhasználó kötelessége.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8. Az ingatlan tulajdoni jogában, használatában bekövetkező változások rendezésének szabályai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12.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ingatlanhasználó köteles a közszolgáltatónak bejelenteni, ha a közszolgáltatás igénybevételére kötelezetté válik.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(2) Az ingatlanhasználó személyében vagy az ingatlan jellegében bekövetkezett változás bejelentésére, regisztrálására a közszolgáltató honlapjáról letölthető, vagy ügyfélszolgálatán </w:t>
      </w:r>
      <w:r w:rsidRPr="00A10B5F">
        <w:rPr>
          <w:rFonts w:ascii="Cambria" w:hAnsi="Cambria"/>
        </w:rPr>
        <w:lastRenderedPageBreak/>
        <w:t>díjmentesen igényelhető „Tulajdonosváltozás bejelentő” nyomtatvány is használható. A bejelentésben kell megadni: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az igénybevétel kezdetét,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az edényzet méretét, számát,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természetes személy</w:t>
      </w:r>
      <w:r w:rsidRPr="00A10B5F">
        <w:rPr>
          <w:rFonts w:ascii="Cambria" w:hAnsi="Cambria"/>
        </w:rPr>
        <w:t xml:space="preserve"> ingatlanhasználó esetén a közszolgáltatást igénybe vevő (díjfizető ingatlanhasználó) nevét, lakcímét, születési helyét és idejét, anyja nevét,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költségvetési szerv</w:t>
      </w:r>
      <w:r w:rsidRPr="00A10B5F">
        <w:rPr>
          <w:rFonts w:ascii="Cambria" w:hAnsi="Cambria"/>
        </w:rPr>
        <w:t xml:space="preserve"> esetén szerv nevét, képviseletre jogosult személy nevét, valamint személyes adatait, törzskönyvi nyilvántartás számát, az adószámát, bankszámlaszámát, telephely adatait,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nem természetes személy</w:t>
      </w:r>
      <w:r w:rsidRPr="00A10B5F">
        <w:rPr>
          <w:rFonts w:ascii="Cambria" w:hAnsi="Cambria"/>
        </w:rPr>
        <w:t xml:space="preserve"> esetén cég nevét, képviseletre jogosult személy nevét, valamint személyes adatait, a cég adószámát, bankszámlaszámát, telephely adatait hitelt érdemlően megadni,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 xml:space="preserve">társasház vagy lakásszövetkezet </w:t>
      </w:r>
      <w:r w:rsidRPr="00A10B5F">
        <w:rPr>
          <w:rFonts w:ascii="Cambria" w:hAnsi="Cambria"/>
        </w:rPr>
        <w:t>esetén a közös képviselő útján a társasház vagy lakásszövetkezet Alapító Okiratát bemutatni, társasházon belüli ingatlanhasználókról adatot szolgáltatni.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Amennyiben az ingatlan tulajdonosi, használati viszonyaiban változás következik be, úgy az új ingatlanhasználó a korábbi ingatlanhasználóval egyetemlegesen köteles a változás tényét 15 napon belül írásban bejelenteni a közszolgáltatónak. A közszolgáltatás díját a közszolgáltatónak történt bejelentés napjáig a korábbi, azt követően pedig az új ingatlanhasználó köteles megfizetni. Öröklés esetében a közszolgáltatási díj megfizetésére az örökös, vagy az örökösök egyetemlegesen kötelesek.</w:t>
      </w:r>
    </w:p>
    <w:p w:rsidR="00405308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Amennyiben az ingatlanhasználó más térfogatú vagy darab számú gyűjtőedényzet elszállítását igényli, ez irányú változtatási igényét a közszolgáltatóhoz bejelenti. A bejelentést évente egyszer, minden év január 31-ig lehet megtenni. A bejelentéssel egyidejűleg az ingatlanhasználó köteles gondoskodni a gyűjtőedényzet cseréjéről. Az ürítési díj összegének megállapításánál a közszolgáltató mindaddig jogosult 1 db 110 liter térfogatú gyűjtőedényzet rendszeres használatát vélelmezni, ameddig az ingatlanhasználó eltérő térfogatú gyűjtőedényzet elszállítására vonatkozó igényét nem jelenti be.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9. Az időszakos szüneteltetés szabályai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13.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ingatlanhasználó a közszolgáltatónál kezdeményezheti a közszolgáltatás igénybevételének szüneteltetését az alábbi feltételek egyidejű megléte esetén: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az ingatlanban életvitelszerűen, tartósan nem tartózkodnak,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a hulladékgyűjtő edényzet azonosítására szolgáló matrica a közszolgáltató részére leadásra kerül.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szüneteltetést kérő formanyomtatvány letölthető a közszolgáltató honlapjáról, vagy az ügyfélszolgálatán igényelhető.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(3) Szüneteltethető a közszolgáltatás igénybevétele, amennyiben az ingatlan legalább 6 hónapig folyamatosan nem lesz használatban, és erről a fizetésre kötelezett ingatlanhasználó </w:t>
      </w:r>
      <w:r w:rsidRPr="00A10B5F">
        <w:rPr>
          <w:rFonts w:ascii="Cambria" w:hAnsi="Cambria"/>
          <w:i/>
          <w:iCs/>
        </w:rPr>
        <w:t>írásban előre nyilatkozik</w:t>
      </w:r>
      <w:r w:rsidRPr="00A10B5F">
        <w:rPr>
          <w:rFonts w:ascii="Cambria" w:hAnsi="Cambria"/>
        </w:rPr>
        <w:t>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(4) Az írásbeli bejelentés csak teljes naptári hónapokra szólhat. A szüneteltetés bejelentésekor meg kell jelölni a szüneteltetés kezdetének és végének napját. Fotóval történő igazolás esetén a szüneteltetési kérelemhez csatolni kell hitelesített fényképpel (a fénykép dátum hitelesítése </w:t>
      </w:r>
      <w:r w:rsidRPr="00A10B5F">
        <w:rPr>
          <w:rFonts w:ascii="Cambria" w:hAnsi="Cambria"/>
        </w:rPr>
        <w:lastRenderedPageBreak/>
        <w:t>az aznapi kiadású újsággal való együtt fotózással történik) a szüneteltetés kezdő mérőóra állását.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szolgáltatás szüneteltetésének részleteit, feltételeit a közszolgáltató az ingatlanhasználónak írásban visszaigazolja.</w:t>
      </w:r>
    </w:p>
    <w:p w:rsidR="00405308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(6) Az ingatlanhasználó a szüneteltetési időszak végén - legkésőbb a szüneteltetés végét követő 60. napig - a szüneteltetett időszakot maradéktalanul magába foglaló, leolvasott mérőóra-állásokon alapuló „nullás” közüzemi számlákkal (víz vagy villany) vagy a mérőóra állásokat (jól leolvasható) tartalmazó hitelesített fényképpel (a fénykép dátum hitelesítése az aznapi kiadású újsággal való együtt fotózással történik) igazolja, hogy az ingatlant nem használta. </w:t>
      </w:r>
      <w:r w:rsidR="00405308">
        <w:rPr>
          <w:rFonts w:ascii="Cambria" w:hAnsi="Cambria"/>
        </w:rPr>
        <w:t xml:space="preserve"> Hosszabb intervallum esetén legalább évente egyszer, egész évre vonatkozóan igazolni kell a használaton kívüliséget.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Az ingatlant használaton kívülinek („nullás” fogyasztásnak) kell tekinteni akkor is, ha az ingatlan karbantartási és tisztántartási feladatok ellátása miatt, a mérőóra kezdő és záró óraállása között 12 hónap alatt legfeljebb 2 m</w:t>
      </w:r>
      <w:r w:rsidRPr="00A10B5F">
        <w:rPr>
          <w:rFonts w:ascii="Cambria" w:hAnsi="Cambria"/>
          <w:vertAlign w:val="superscript"/>
        </w:rPr>
        <w:t>3</w:t>
      </w:r>
      <w:r w:rsidRPr="00A10B5F">
        <w:rPr>
          <w:rFonts w:ascii="Cambria" w:hAnsi="Cambria"/>
        </w:rPr>
        <w:t xml:space="preserve"> vízfogyasztás vagy maximum 50 kWh villamos energia fogyasztás mutatkozott.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„nullás” fogyasztást minden esetben mérőóra-állás bejelentésével kell igazolni. A szüneteltetés kezdő óraállását legkésőbb a szüneteltetés első napját megelőző napig, a (6) bekezdésben leírtak szerint készült hiteles fényképpel vagy az aktuális közműszolgáltató (víz vagy villamos energia) által leolvasott mérőóra állás igazolásával kell bejelenteni.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 szüneteltetés záró óraállását a szüneteltetés utolsó napjától számított 5 munkanapon belül kell bejelenteni a (6) bekezdésben leírtak szerint készült hiteles fénykép vagy az aktuális közműszolgáltató (víz vagy villamos energia) által leolvasott mérőóra állás igazolásával.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(10) </w:t>
      </w:r>
      <w:r w:rsidRPr="00A10B5F">
        <w:rPr>
          <w:rFonts w:ascii="Cambria" w:hAnsi="Cambria"/>
          <w:i/>
          <w:iCs/>
        </w:rPr>
        <w:t xml:space="preserve">Ha az ingatlanhasználó a </w:t>
      </w:r>
      <w:r w:rsidRPr="00A10B5F">
        <w:rPr>
          <w:rFonts w:ascii="Cambria" w:hAnsi="Cambria"/>
        </w:rPr>
        <w:t>(6) bekezdés</w:t>
      </w:r>
      <w:r w:rsidRPr="00A10B5F">
        <w:rPr>
          <w:rFonts w:ascii="Cambria" w:hAnsi="Cambria"/>
          <w:i/>
          <w:iCs/>
        </w:rPr>
        <w:t xml:space="preserve">ben, vagy </w:t>
      </w:r>
      <w:r w:rsidRPr="00A10B5F">
        <w:rPr>
          <w:rFonts w:ascii="Cambria" w:hAnsi="Cambria"/>
        </w:rPr>
        <w:t>(7) bekezdés</w:t>
      </w:r>
      <w:r w:rsidRPr="00A10B5F">
        <w:rPr>
          <w:rFonts w:ascii="Cambria" w:hAnsi="Cambria"/>
          <w:i/>
          <w:iCs/>
        </w:rPr>
        <w:t>ben jelzett módon utólag nem tudja igazolni, hogy az ingatlant nem használta, a szüneteltetés teljes időszakára a közszolgáltatási díjat jegybanki alapkamattal növelten egy összegben köteles a közszolgáltatási díj számlázására és beszedésére jogosult részére megfizetni.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(11) A szüneteltetés időszaka alatt az ingatlan használó nem jogosult a vegyes háztartási, és az elkülönítetten gyűjtött (szelektív, zöld, lom) hulladék szállítás igénybevételére.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(12) Jogosulatlanság esetén a közszolgáltatás státuszát a közszolgáltató aktiválja, erről az érintett ügyfelet írásban értesíti.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(13) Az ingatlanhasználó mentesül a közszolgáltatási díj időarányos részének megtérítése alól az igazolt, szüneteltetett időszakra.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10. Az üdülőingatlanokra vonatkozó sajátos szabályok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14.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(1) Az üdülőingatlanok használói a közszolgáltatást a használati szezonban, április 15 - október 15. napja közötti időszakban kötelesek igénybe venni. Ezen kívüli időszakban vegyes települési hulladékot csak közszolgáltató alvállalkozói logóval ellátott többlethulladékos zsákban helyezhetnek ki, vagy a közszolgáltatónál - legkésőbb a használati szezonon túli időszakban tervezett rendszeres hulladékszállítás megkezdése előtt 15 nappal - bejelentheti a közszolgáltatás folyamatos igénybevétele iránti szándékát. Az elkülönítetten gyűjtött </w:t>
      </w:r>
      <w:r w:rsidRPr="00A10B5F">
        <w:rPr>
          <w:rFonts w:ascii="Cambria" w:hAnsi="Cambria"/>
        </w:rPr>
        <w:lastRenderedPageBreak/>
        <w:t>(szelektív, zöld, lom) hulladék szezonon kívül is kihelyezhető, melyet a közszolgáltató a járatnapokon — külön térítés nélkül — elszállít.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üdülőingatlanok tekintetében a díjfizetési kötelezettség április 15. - október 15. napja közötti időszakra áll fenn.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Az üdülőingatlan használói az éves közszolgáltatási díj 50%-át kötelesek megfizetni.</w:t>
      </w:r>
    </w:p>
    <w:p w:rsidR="00BB3B14" w:rsidRPr="00A10B5F" w:rsidRDefault="00BB3B14" w:rsidP="00BB3B14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III. Fejezet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A települési hulladék egyes összetevőinek elkülönített gyűjtése 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15.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települési hulladék egyes újrahasznosítható összetevőinek - papír, műanyag, üveg, fém, zöldhulladék, lom – elkülönített gyűjtése a közszolgáltató által szervezett házhoz menő elkülönített gyűjtéssel történik.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elkülönített gyűjtéshez rendszeresített 120 vagy 240 literes sárga gyűjtőedényzetben, vagy a felirattal és logóval ellátott átlátszó sárga zsákban a papír, műanyag, fém csomagolási hulladék vegyesen helyezhető el. Az öblösüveg hulladék 60 vagy 120 literes zöld színű gyűjtőedényzetben vagy a zöldszínű „üveg” feliratú zsákban helyezhető el. A kartonpapírból készült nagyméretű doboz gyűjtőedényzetbe, zsákba nem helyezhető, azt laposra hajtogatva és kötegelve kell a közszolgáltatónak átadni.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Szállítási naponként - a biológiailag lebomló hulladékgyűjtő zsák kivételével - 1 db csere-gyűjtőzsákot a közszolgáltató térítésmentesen biztosít a gyűjtőedénnyel nem rendelkező közszolgáltatást igénybe vevők számára.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hulladékgyűjtő zsákban elhelyezhető elkülönítetten gyűjtött települési hulladék pontos fajtáját a közszolgáltató határozza meg és azt a feliratban a hulladékgyűjtő zsákon egyértelműen jelöli.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elkülönített hulladék gyűjtésére szolgáló merevfalú edényzet és a közszolgáltató által biztosított 1 db sárga vagy zöld „üveg” feliratú zsákot meghaladó mennyiségű csomagolási hulladék a közszolgáltató alvállalkozójától, vagy a vele szerződésben álló kereskedelmi egységtől térítés ellenében beszerezhető sárga vagy zöld színű felirattal és logóval ellátott hulladékgyűjtő zsákban helyezhető ki mennyiségi korlátozás nélkül. A zsák ára a szállítás és kezelés díját nem tartalmazza. A zsákok egységárát a közszolgáltató alvállalkozója a honlapján közzéteszi.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16.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közszolgáltató a zöldhulladékot a zöldhulladék szállítására kijelölt szállítási napon köteles elszállítani, ha azt az ingatlanhasználó szabványos (barna) gyűjtőedényzetben, vagy maximum 1 m x 0,3 m x 0,3 m -es kötegekben, vagy biológiailag lebomló zsákban helyezte ki közterületre. Amennyiben az ingatlanhasználó nem a felsorolt módon gondoskodik a zöldhulladék átadásáról a közszolgáltató nem köteles a zöldhulladék elszállítására.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(2) A kereskedelmi forgalomban beszerezhető (nem a közszolgáltató alvállalkozója logójával ellátott) biológiailag lebomló zsákon, a zöldhulladék szállítására kijelölt szállítási napon kihelyezett zsákon el kell helyezni a gyártó igazolását arról, hogy a zsák komposztálásra </w:t>
      </w:r>
      <w:r w:rsidRPr="00A10B5F">
        <w:rPr>
          <w:rFonts w:ascii="Cambria" w:hAnsi="Cambria"/>
        </w:rPr>
        <w:lastRenderedPageBreak/>
        <w:t>alkalmas, biológiailag lebomló, ennek hiányában a közszolgáltató nem köteles a zöldhulladék elszállítására.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biológiailag lebomló hulladékgyűjtő zsák térítés ellenében a közszolgáltatól, vagy a vele szerződésben álló kereskedelmi egységtől szerezhető be. A zsák ára a szállítás és kezelés díját nem tartalmazza. A zs</w:t>
      </w:r>
      <w:r w:rsidR="00C17541">
        <w:rPr>
          <w:rFonts w:ascii="Cambria" w:hAnsi="Cambria"/>
        </w:rPr>
        <w:t>ák egységárát a közszolgáltató</w:t>
      </w:r>
      <w:r w:rsidRPr="00A10B5F">
        <w:rPr>
          <w:rFonts w:ascii="Cambria" w:hAnsi="Cambria"/>
        </w:rPr>
        <w:t xml:space="preserve"> a honlapján közzéteszi.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közszolgáltató január hónapban 2 alkalommal elszállítja az ingatlan elé kihelyezett karácsonyfákat külön díj felszámolása nélkül.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közszolgáltató a zöldhulladék szállítási napokon az ingatlanhasználók által kihelyezett, nem zöldhulladék jellegű települési hulladékot nem köteles elszállítani.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17.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nagydarabos háztartási lomhulladék szervezett összegyűjtéséről, elszállításáról és kezeléséről (lomtalanítás) minden évben 1 alkalommal a közszolgáltató az önkormányzattal el</w:t>
      </w:r>
      <w:r w:rsidR="00C17541">
        <w:rPr>
          <w:rFonts w:ascii="Cambria" w:hAnsi="Cambria"/>
        </w:rPr>
        <w:t>őzetesen egyeztetett időpontban</w:t>
      </w:r>
      <w:r w:rsidRPr="00A10B5F">
        <w:rPr>
          <w:rFonts w:ascii="Cambria" w:hAnsi="Cambria"/>
        </w:rPr>
        <w:t xml:space="preserve"> házhoz menő lomhulladék szállítás keretében gondoskodik.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Évente 1 alkalommal a szervezett házhoz menő lomtalanítást kizárólag a természetes személy ingatlanhasználó veheti igénybe.</w:t>
      </w:r>
    </w:p>
    <w:p w:rsidR="00BB3B14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(3) Lomtalanításkor az adott területre meghatározott napokon kell az ingatlan előtti útpadkára vagy közterületre kihelyezni azt a háztartási hulladékot, amely a közszolgáltatás keretében rendszeresített gyűjtőedényzet méreteit meghaladja (feleslegessé vált nagyobb méretű berendezési tárgyak, és egyéb lomok). 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lomhulladék kihelyezésének időpontjáról az önkormányzat a helyben szokásos módon, (hivatalos honlapján, a helyi televízióban, a közterületi hirdetőtáblákon, a helyi újságban), a lomtalanítás kezdése előtt legalább harminc nappal közzétett hirdetmény útján értesíti a közszolgáltatás igénybe vevőit. Az egyes települések lomtalanítási programjai a közszolgáltató honlapján is elérhetőek.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ingatlanhasználó a lomhulladékának elszállítását a meghirdetett gyűjtési napot megelőző 5. munkanapig rendelheti meg telefonon, vagy elektronikus levélben a közszolgáltatótól annak ügyfélszolgálati elérhetőségein. A regisztráció alkalmával az ingatlanhasználó köteles megadni az NHKV Zrt. által kibocsátott számlán található „Felhasználó azonosító” számot. A közszolgáltató kizárólag az előre bejelentett szállítási igényt teljesíti, a kihelyezett, de előzetesen nem regisztrált lom elszállítását jogosult megtagadni.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Lomhulladékként nem lehet kihelyezni, és így a közszolgáltató nem köteles elszállítani: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építési törmeléket,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épület felújításából, vagy építéséből kikerülő hulladékot, megmaradt anyagot,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  <w:t>egyéb, a közszolgáltatás körébe tartozó hulladékot (vegyes települési hulladékot, szelektíven gyűjtött hulladékot, növényi zöldhulladékot, ágnyesedéket),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  <w:t>ipari technológiai berendezések, mezőgazdasági, ipari tevékenységek hulladékát, vagy mellékterméket),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veszélyes hulladékot,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  <w:t>elektronikai hulladékot,</w:t>
      </w:r>
    </w:p>
    <w:p w:rsidR="00BB3B14" w:rsidRPr="00A10B5F" w:rsidRDefault="00BB3B14" w:rsidP="00BB3B14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g)</w:t>
      </w:r>
      <w:r w:rsidRPr="00A10B5F">
        <w:rPr>
          <w:rFonts w:ascii="Cambria" w:hAnsi="Cambria"/>
        </w:rPr>
        <w:tab/>
        <w:t xml:space="preserve"> autóroncsot, gumiabroncsot.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lastRenderedPageBreak/>
        <w:t xml:space="preserve">(7) </w:t>
      </w:r>
      <w:r>
        <w:rPr>
          <w:rFonts w:ascii="Cambria" w:hAnsi="Cambria"/>
        </w:rPr>
        <w:t xml:space="preserve">A </w:t>
      </w:r>
      <w:r w:rsidRPr="00A10B5F">
        <w:rPr>
          <w:rFonts w:ascii="Cambria" w:hAnsi="Cambria"/>
        </w:rPr>
        <w:t>szervezett lomtalanítás időpontján kívül (a közszolgáltatáson kívül) az ingatlan használója az ingatlanán használhatatlanná vagy feleslegessé vált lomhulladékának elszállítását a közszolgáltató alvállalkozójától külön térítési díj ellenében megrendelheti.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Az elektronikai hulladék gyűjtését az önkormányzat külön megrendelése alapján – lehetőség szerint a lomtalanítást megelőzően - a közszolgáltató megszervezi.</w:t>
      </w:r>
    </w:p>
    <w:p w:rsidR="00BB3B14" w:rsidRPr="00A10B5F" w:rsidRDefault="00BB3B14" w:rsidP="00BB3B14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IV. Fejezet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A közszolgáltatás díja, megfizetése 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18.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 használója vagy a gazdálkodó szervezet, ha egyébként a közszolgáltatás igénybevételére kötelezett, — a visszaigazolt szüneteltetést kivéve — nem tagadhatja meg a közszolgáltatási díj megfizetését arra tekintettel, hogy a közszolgáltatást nem veszi igénybe.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települési hulladékkal kapcsolatos helyi közszolgáltatás igénybevételéért az ingatlanhasználó az NHKV Zrt. részére, számlája ellenében közszolgáltatási díjat köteles fizetni.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közszolgáltatás díja gyűjtőedényenként megegyezik az egyszeri ürítési díj és a számlázási időszakban a közszolgáltató által teljesített vegyes hulladék hulladékszállítási napjainak szorzatával.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hulladékgazdálkodási közszolgáltatás igénybevételéért az ingatlanhasználót terhelő díjhátralék adók módjára behajtható köztartozás.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díjhátralék behajtására a Ht. 52. §-a az irányadó.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közszolgáltatás díját tartalmazó számla adataival és összegével kapcsolatban az ingatlanhasználó a számla kibocsátójánál írásban kifogást emelhet. A kifogásnak a számla kiegyenlítésére vonatkozó kötelezettség teljesítésére halasztó hatálya nincs.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Lakóházak után éves, míg üdülőingatlanok után szezonális hulladékgazdálkodási közszolgáltatási díjat köteles fizetni az ingatlanhasználó. Az ingatlanok rendeltetés módját a használó eltérő nyilatkozata hiányában az ingatlan-nyilvántartás adatai határozzák meg. Az eltérő használatot az ingatlanhasználó a tárgyévet megelőző évben tett adóbevallásával igazolhatja a tárgyév március 31-ig.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Az egyszeri ürítési díj összegének megállapításánál a szolgáltatást igénybe vevő eltérő írásos bejelentése hiányában a közszolgáltató jogosult lakóegységenként 1 db 110 vagy 120 liter térfogatú gyűjtőedényzet rendszeres használatát vélelmezni.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Társasházi és többlakásos ingatlanok esetében az ingatlanhasználók lakóegységenként kötelezettek a közszolgáltatás igénybevételére és lakóegységek után kötelezettek a közszolgáltatási díj megfizetésére. Lakóegységenként legalább 60 liter fajlagos hulladékmennyiség keletkezését kell vélelmezni.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(10) A közös gyűjtőedényzetet használó ingatlan (társasház, társasüdülő) közös képviselőjének írásban nyilatkoznia kell a közszolgáltató felé a díjfizetésre kötelezett személyéről (amennyiben a díjfizetés az érintett lakóegységek vonatkozásában egyösszegben, </w:t>
      </w:r>
      <w:r w:rsidRPr="00A10B5F">
        <w:rPr>
          <w:rFonts w:ascii="Cambria" w:hAnsi="Cambria"/>
        </w:rPr>
        <w:lastRenderedPageBreak/>
        <w:t>a társasház részéről történik) vagy személyeiről (amennyiben a számlázást egyénileg lakóegységenként kérik).</w:t>
      </w:r>
    </w:p>
    <w:p w:rsidR="00BB3B14" w:rsidRPr="00A10B5F" w:rsidRDefault="00BB3B14" w:rsidP="00BB3B14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V. Fejezet</w:t>
      </w:r>
    </w:p>
    <w:p w:rsidR="00BB3B14" w:rsidRPr="00A10B5F" w:rsidRDefault="00BB3B14" w:rsidP="00BB3B14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Gazdálkodó szervezet ingatlanhasználó 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19.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gazdálkodó szervezet ingatlanhasználó a vegyesen gyűjtött települési hulladékának kezelésére köteles a közszolgáltatóval egyedi szerződést kötni.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szerződést egész évre vagy minimum 4 hónapra (május 15</w:t>
      </w:r>
      <w:r w:rsidR="009A7072">
        <w:rPr>
          <w:rFonts w:ascii="Cambria" w:hAnsi="Cambria"/>
        </w:rPr>
        <w:t>.</w:t>
      </w:r>
      <w:r w:rsidRPr="00A10B5F">
        <w:rPr>
          <w:rFonts w:ascii="Cambria" w:hAnsi="Cambria"/>
        </w:rPr>
        <w:t xml:space="preserve"> – szeptember 15</w:t>
      </w:r>
      <w:r w:rsidR="009A7072">
        <w:rPr>
          <w:rFonts w:ascii="Cambria" w:hAnsi="Cambria"/>
        </w:rPr>
        <w:t>.</w:t>
      </w:r>
      <w:r w:rsidRPr="00A10B5F">
        <w:rPr>
          <w:rFonts w:ascii="Cambria" w:hAnsi="Cambria"/>
        </w:rPr>
        <w:t>) kell megkötniük. A két időszak közötti kétség esetén a működés idejét a gazdálkodó szervezetnek kell bizonyítani.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megkötött közszolgáltatási szerződésben szereplő hulladékmennyiséget meghaladó, esetenként keletkező „többlet hulladékot” a közszolgáltató által rendszeresített, közszolgáltatói alvállalkozói logóval ellátott hulladékgyűjtő zsákban helyezheti ki.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gazdálkodó szervezet ingatlanhasználó az elkülönítetten gyűjtött települési hulladékának (vegyes- és üveg csomagolási hulladék, zöldhulladék) szállítására és kezelésére a közszolgáltatóval szerződést köthet. A szerződést egész évre vagy 4 hónapra (május 15 – szeptember 15) kell megkötniük. A két időszak közötti kétség esetén a működés idejét a gazdálkodó szervezetnek kell bizonyítani.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Amennyiben a gazdálkodó szervezet ingatlanhasználó az elkülönítetten gyűjtött települési hulladékának szállítására és kezelésére arra feljogosított egyéb szervezettel köt szerződést, köteles azt nyilvántartásba vétel céljából bemutatni az önkormányzat hivatalában.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jegyző a közszolgáltató adatszolgáltatásában nem szereplő gazdálkodó szervezeteket évente ismétlődően nyilatkozat megtételére hívja fel.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gazdálkodó szervezet ingatlanhasználó a jegyző felé írásban köteles nyilatkozni, hogy az elkülönítetten gyűjtött települési hulladékának kezeléséről a jogszabályi előírásoknak megfelelően gondoskodik, köteles továbbá az ellenőrzésre feljogosított önkormányzati hivatali köztisztviselőnek az elkülönítetten gyűjtött hulladék kezelésére vonatkozó szerződést, a szállításról kiállított számlát vagy egyéb befogadó nyilatkozatot bemutatni.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gazdálkodó szervezet ingatlanhasználó jogaira és kötelezettségeire a rendelet rendelkezéseit a 13. § -ban foglalt eltéréssel kell alkalmazni.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 gazdálkodó szervezet ingatlanhasználó köteles a közszolgáltatási szerződés bármely elemeiben bekövetkezett változást (beleértve a tevékenysége megszüntetést is) 15 napon belül a közszolgáltatónak bejelenteni és a változás tényét hivatalos dokumentummal alátámasztani.</w:t>
      </w:r>
    </w:p>
    <w:p w:rsidR="00BB3B14" w:rsidRPr="00A10B5F" w:rsidRDefault="00BB3B14" w:rsidP="00BB3B14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Amennyiben a gazdálkodó szervezet a változást 15 napon belül nem jelenti be, úgy azt a közszolgáltató a bejelentés napjától tartja nyilván. A szerződésmódosítás a közszolgáltatónál írásban kezdeményezhető. A választható szabványos gyűjtőedényzetekre vonatkozó szerződésmódosítással egyidejűleg a gazdálkodó szervezet köteles gondoskodni a gyűjtőedényzet cseréjéről.</w:t>
      </w:r>
    </w:p>
    <w:p w:rsidR="00BB3B14" w:rsidRPr="00A10B5F" w:rsidRDefault="00BB3B14" w:rsidP="00BB3B14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lastRenderedPageBreak/>
        <w:t>11. Záró rendelkezések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20.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Ez a rendelet 2022. január 1-jén lép hatályba.</w:t>
      </w:r>
    </w:p>
    <w:p w:rsidR="00BB3B14" w:rsidRPr="00A10B5F" w:rsidRDefault="00BB3B14" w:rsidP="00BB3B14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21. §</w:t>
      </w:r>
    </w:p>
    <w:p w:rsidR="00BB3B14" w:rsidRPr="00A10B5F" w:rsidRDefault="00BB3B14" w:rsidP="00BB3B14">
      <w:pPr>
        <w:pStyle w:val="Szvegtrzs"/>
        <w:spacing w:after="0" w:line="240" w:lineRule="auto"/>
        <w:jc w:val="both"/>
        <w:rPr>
          <w:rFonts w:ascii="Cambria" w:hAnsi="Cambria"/>
        </w:rPr>
        <w:sectPr w:rsidR="00BB3B14" w:rsidRPr="00A10B5F" w:rsidSect="00405308">
          <w:footerReference w:type="default" r:id="rId8"/>
          <w:pgSz w:w="11906" w:h="16838"/>
          <w:pgMar w:top="1134" w:right="1134" w:bottom="851" w:left="1134" w:header="0" w:footer="1134" w:gutter="0"/>
          <w:cols w:space="708"/>
          <w:formProt w:val="0"/>
          <w:docGrid w:linePitch="600" w:charSpace="32768"/>
        </w:sectPr>
      </w:pPr>
      <w:r w:rsidRPr="00A10B5F">
        <w:rPr>
          <w:rFonts w:ascii="Cambria" w:hAnsi="Cambria"/>
        </w:rPr>
        <w:t>Hatályát veszti a települési hulladékról és közszolgáltatás szervezéséről szóló 15/2016. (XII.16.) önkormányzati rendelet.</w:t>
      </w:r>
    </w:p>
    <w:p w:rsidR="00BB3B14" w:rsidRPr="00A10B5F" w:rsidRDefault="00BB3B14" w:rsidP="00BB3B14">
      <w:pPr>
        <w:jc w:val="both"/>
        <w:rPr>
          <w:rFonts w:ascii="Cambria" w:hAnsi="Cambria"/>
        </w:rPr>
      </w:pPr>
      <w:r w:rsidRPr="00A10B5F">
        <w:rPr>
          <w:rFonts w:ascii="Cambria" w:hAnsi="Cambria"/>
        </w:rPr>
        <w:lastRenderedPageBreak/>
        <w:t> </w:t>
      </w:r>
    </w:p>
    <w:p w:rsidR="00BB3B14" w:rsidRPr="00A10B5F" w:rsidRDefault="00BB3B14" w:rsidP="00BB3B14">
      <w:pPr>
        <w:pStyle w:val="Szvegtrzs"/>
        <w:spacing w:line="240" w:lineRule="auto"/>
        <w:jc w:val="right"/>
        <w:rPr>
          <w:rFonts w:ascii="Cambria" w:hAnsi="Cambria"/>
          <w:i/>
          <w:iCs/>
          <w:u w:val="single"/>
        </w:rPr>
      </w:pPr>
      <w:r w:rsidRPr="00A10B5F">
        <w:rPr>
          <w:rFonts w:ascii="Cambria" w:hAnsi="Cambria"/>
          <w:i/>
          <w:iCs/>
          <w:u w:val="single"/>
        </w:rPr>
        <w:t>1.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778"/>
        <w:gridCol w:w="2048"/>
        <w:gridCol w:w="2194"/>
        <w:gridCol w:w="3509"/>
        <w:gridCol w:w="4097"/>
      </w:tblGrid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1. </w:t>
            </w: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VEGYES TELEPÜLÉSI HULLADÉK (HÁZHOZMENŐ GYŰJTÉSSEL)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LAKÓINGATLANOK, EGÉSZ ÉVBEN MŰKÖDŐ GAZDÁLKODÓ SZERVEZETEK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NAP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január 1 - június 30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1 -december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1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díjfizetésnek megfelelő méretű és darabszámú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július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2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kedd, péntek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díjfizetés szerinti edényzet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méretet meghaladó mennyiségű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hulladék a közszolgáltató/alvállalkozója logójával ellátott feliratos zsákban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ÜDÜLŐINGATLANOK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NAP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április 15 - június 30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 október 15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1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díjfizetésnek megfelelő méretű és darabszámú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július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2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kedd, péntek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díjfizetés szerinti edényzet méretet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meghaladó mennyiségű hulladék és szezonális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időszakon kívűl keletkező hulladék 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közszolgáltató/alvállalkozója logójával ellátott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feliratos zsákban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SZEZONÁLISAN MŰKÖDŐ GAZDÁLKODÓ SZERVEZETEK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NAP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május 15 - június 30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 szeptember 15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1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díjfizetésnek megfelelő méretű és darabszámú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július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2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kedd, péntek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díjfizetés szerinti edényzet méretet </w:t>
            </w:r>
            <w:r w:rsidRPr="00A10B5F">
              <w:rPr>
                <w:rFonts w:ascii="Cambria" w:hAnsi="Cambria"/>
                <w:sz w:val="20"/>
                <w:szCs w:val="20"/>
              </w:rPr>
              <w:lastRenderedPageBreak/>
              <w:t xml:space="preserve">meghaladó mennyiségű hulladék 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közszolgáltató/alvállalkozója logójával ellátott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feliratos zsákban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lastRenderedPageBreak/>
              <w:t>korlátlan mennyiségben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2. ZÖLDHULLADÉK (HÁZHOZMENŐ GYŰJTÉSSEL)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MINDEN INGATLANHASZNÁLÓ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január hónap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kettő alkalommal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csak fenyőfa (karácsonyfa)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szállítás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ingatlanonként 1 db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március - november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4 hetente szerdán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gyűjtőedényzetben;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max. 1m x 0,3m x 0,3m-es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 kötegekben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rendszeresített, logójával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ellátott biológiailag lebomló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zsákban, vagy a kereskedelmi forgalomban beszerezhető, a gyártó igazolásával ellátott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biológiailag lebomló zsákban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biológiailag lebomló zsák külön díj ellenében vásárolható meg (mely a hulladék szállítás, kezelés díját nem tartalmazza!)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3. ELKÜLÖNÍTETTEN GYŰJTÖTT VEGYES CSOMAGOLÁSI HULLADÉK (HÁZHOZMENŐ GYŰJTÉSSEL)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MINDEN INGATLANHASZNÁLÓ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január 1 - május 31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 december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4 hetente szerdán</w:t>
            </w:r>
          </w:p>
        </w:tc>
        <w:tc>
          <w:tcPr>
            <w:tcW w:w="2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rendszeresített 120 vagy 240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</w:r>
            <w:r w:rsidRPr="00A10B5F">
              <w:rPr>
                <w:rFonts w:ascii="Cambria" w:hAnsi="Cambria"/>
                <w:sz w:val="20"/>
                <w:szCs w:val="20"/>
              </w:rPr>
              <w:lastRenderedPageBreak/>
              <w:t xml:space="preserve">lit. sárga gyűjtőedényzetben,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rendszeresített, logójával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ellátott sárga színű zsákban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(a közszolgáltató 1 db sárga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cserezsákot biztosít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 ingatlanonként)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lastRenderedPageBreak/>
              <w:t>korlátlan mennyiségben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plusz zsák külön díj ellenében vásárolható meg</w:t>
            </w:r>
            <w:r w:rsidRPr="00A10B5F">
              <w:rPr>
                <w:rFonts w:ascii="Cambria" w:hAnsi="Cambria"/>
                <w:sz w:val="20"/>
                <w:szCs w:val="20"/>
              </w:rPr>
              <w:lastRenderedPageBreak/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(mely a hulladék szállítás, kezelés díját nem tartalmazza!)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június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2 hetente szerdán</w:t>
            </w:r>
          </w:p>
        </w:tc>
        <w:tc>
          <w:tcPr>
            <w:tcW w:w="2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rPr>
                <w:rFonts w:ascii="Cambria" w:hAnsi="Cambria"/>
              </w:rPr>
            </w:pP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4. ELKÜLÖNÍTETTEN GYŰJTÖTT ÜVEG CSOMAGOLÁSI HULLADÉK (HÁZHOZMENŐ GYŰJTÉSSEL)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MINDEN INGATLANHASZNÁLÓ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január 1 - december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4 hetente pénteken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 60 vagy 120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lit. zöld színű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gyűjtőedényzetben, 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 zöld színű,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üveg feliratos zsákban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(a közszolgáltató 1db zöld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cserezsákot biztosít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ingatlanonként)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plusz zsák külön díj ellenében vásárolható meg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(mely a hulladék szállítás, kezelés díját nem tartalmazza!)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5. LOMHULLADÉK (HÁZHOZMENŐ GYŰJTÉSSEL)</w:t>
            </w:r>
          </w:p>
        </w:tc>
      </w:tr>
      <w:tr w:rsidR="00BB3B14" w:rsidRPr="00A10B5F" w:rsidTr="00754FD8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CSAK A TERMÉSZETES SZEMÉLY INGATLANHASZNÁLÓK ESETÉBEN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BB3B14" w:rsidRPr="00A10B5F" w:rsidTr="00754FD8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közszolgáltató és az önkormányzat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által meghatározott napon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évi 1 alkalommal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közszolgáltatónál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 előzetesen regisztrált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ingatlan használók az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ingatlan előtti közterületre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történő kihelyezéssel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B14" w:rsidRPr="00A10B5F" w:rsidRDefault="00BB3B14" w:rsidP="00754FD8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</w:p>
        </w:tc>
      </w:tr>
    </w:tbl>
    <w:p w:rsidR="00BB3B14" w:rsidRPr="00A10B5F" w:rsidRDefault="00BB3B14" w:rsidP="00BB3B14">
      <w:pPr>
        <w:rPr>
          <w:rFonts w:ascii="Cambria" w:hAnsi="Cambria"/>
        </w:rPr>
        <w:sectPr w:rsidR="00BB3B14" w:rsidRPr="00A10B5F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405F59" w:rsidRPr="00671891" w:rsidRDefault="00405F59" w:rsidP="00671891">
      <w:pPr>
        <w:jc w:val="both"/>
        <w:rPr>
          <w:rFonts w:ascii="Cambria" w:hAnsi="Cambria"/>
        </w:rPr>
      </w:pPr>
    </w:p>
    <w:sectPr w:rsidR="00405F59" w:rsidRPr="00671891" w:rsidSect="00C1080F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7D8" w:rsidRDefault="005517D8" w:rsidP="00C1080F">
      <w:r>
        <w:separator/>
      </w:r>
    </w:p>
  </w:endnote>
  <w:endnote w:type="continuationSeparator" w:id="1">
    <w:p w:rsidR="005517D8" w:rsidRDefault="005517D8" w:rsidP="00C10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lackadder ITC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3E" w:rsidRDefault="00C1080F">
    <w:pPr>
      <w:pStyle w:val="llb"/>
      <w:jc w:val="center"/>
    </w:pPr>
    <w:r>
      <w:fldChar w:fldCharType="begin"/>
    </w:r>
    <w:r w:rsidR="005517D8">
      <w:instrText>PAGE</w:instrText>
    </w:r>
    <w:r>
      <w:fldChar w:fldCharType="separate"/>
    </w:r>
    <w:r w:rsidR="00671891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3E" w:rsidRDefault="005517D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3E" w:rsidRDefault="00C1080F">
    <w:pPr>
      <w:pStyle w:val="llb"/>
      <w:jc w:val="center"/>
    </w:pPr>
    <w:r>
      <w:fldChar w:fldCharType="begin"/>
    </w:r>
    <w:r w:rsidR="005517D8">
      <w:instrText>PAGE</w:instrText>
    </w:r>
    <w:r>
      <w:fldChar w:fldCharType="separate"/>
    </w:r>
    <w:r w:rsidR="00671891">
      <w:rPr>
        <w:noProof/>
      </w:rPr>
      <w:t>23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7D8" w:rsidRDefault="005517D8" w:rsidP="00C1080F">
      <w:r>
        <w:separator/>
      </w:r>
    </w:p>
  </w:footnote>
  <w:footnote w:type="continuationSeparator" w:id="1">
    <w:p w:rsidR="005517D8" w:rsidRDefault="005517D8" w:rsidP="00C108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304"/>
    <w:multiLevelType w:val="hybridMultilevel"/>
    <w:tmpl w:val="C64E5C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D02F2"/>
    <w:multiLevelType w:val="hybridMultilevel"/>
    <w:tmpl w:val="5A04A00C"/>
    <w:lvl w:ilvl="0" w:tplc="8AB6FF8C">
      <w:numFmt w:val="bullet"/>
      <w:lvlText w:val="-"/>
      <w:lvlJc w:val="left"/>
      <w:pPr>
        <w:ind w:left="720" w:hanging="360"/>
      </w:pPr>
      <w:rPr>
        <w:rFonts w:ascii="Cambria" w:eastAsia="Noto Sans CJK SC Regular" w:hAnsi="Cambria" w:cs="FreeSan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B14"/>
    <w:rsid w:val="0001603A"/>
    <w:rsid w:val="000222FF"/>
    <w:rsid w:val="001731A4"/>
    <w:rsid w:val="00405308"/>
    <w:rsid w:val="00405F59"/>
    <w:rsid w:val="005517D8"/>
    <w:rsid w:val="005A06B4"/>
    <w:rsid w:val="00671891"/>
    <w:rsid w:val="007B2E2C"/>
    <w:rsid w:val="009A7072"/>
    <w:rsid w:val="00BB3B14"/>
    <w:rsid w:val="00C1080F"/>
    <w:rsid w:val="00C17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3B14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BB3B14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BB3B1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BB3B14"/>
    <w:pPr>
      <w:suppressLineNumbers/>
      <w:tabs>
        <w:tab w:val="center" w:pos="4819"/>
        <w:tab w:val="right" w:pos="9638"/>
      </w:tabs>
    </w:pPr>
  </w:style>
  <w:style w:type="character" w:customStyle="1" w:styleId="llbChar">
    <w:name w:val="Élőláb Char"/>
    <w:basedOn w:val="Bekezdsalapbettpusa"/>
    <w:link w:val="llb"/>
    <w:rsid w:val="00BB3B1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BB3B14"/>
    <w:pPr>
      <w:suppressAutoHyphens w:val="0"/>
      <w:ind w:left="720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23</Pages>
  <Words>6683</Words>
  <Characters>46119</Characters>
  <Application>Microsoft Office Word</Application>
  <DocSecurity>0</DocSecurity>
  <Lines>384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dcterms:created xsi:type="dcterms:W3CDTF">2021-11-18T11:37:00Z</dcterms:created>
  <dcterms:modified xsi:type="dcterms:W3CDTF">2021-11-18T13:31:00Z</dcterms:modified>
</cp:coreProperties>
</file>