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BA5" w:rsidRDefault="00EC6BA5" w:rsidP="00EC6BA5">
      <w:pPr>
        <w:rPr>
          <w:rFonts w:ascii="Calibri Light" w:hAnsi="Calibri Light" w:cs="Calibri Light"/>
          <w:sz w:val="20"/>
          <w:szCs w:val="20"/>
        </w:rPr>
      </w:pPr>
    </w:p>
    <w:p w:rsidR="00EC6BA5" w:rsidRPr="00C3464E" w:rsidRDefault="00EC6BA5" w:rsidP="00EC6BA5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Előzetes hatásvizsgálati lap</w:t>
      </w:r>
    </w:p>
    <w:p w:rsidR="00EC6BA5" w:rsidRPr="00C3464E" w:rsidRDefault="00EC6BA5" w:rsidP="00EC6BA5">
      <w:pPr>
        <w:jc w:val="center"/>
        <w:rPr>
          <w:rFonts w:ascii="Century Gothic" w:hAnsi="Century Gothic" w:cs="Calibri Light"/>
          <w:b/>
          <w:color w:val="231F20"/>
          <w:spacing w:val="-2"/>
          <w:sz w:val="22"/>
        </w:rPr>
      </w:pPr>
    </w:p>
    <w:p w:rsidR="00EC6BA5" w:rsidRPr="00C3464E" w:rsidRDefault="00856EC8" w:rsidP="00EC6BA5">
      <w:pPr>
        <w:pStyle w:val="Szvegtrzs3"/>
        <w:spacing w:after="0"/>
        <w:jc w:val="center"/>
        <w:rPr>
          <w:rFonts w:ascii="Century Gothic" w:hAnsi="Century Gothic" w:cs="Calibri Light"/>
          <w:b/>
          <w:sz w:val="22"/>
          <w:szCs w:val="22"/>
        </w:rPr>
      </w:pPr>
      <w:r w:rsidRPr="00C3464E">
        <w:rPr>
          <w:rFonts w:ascii="Century Gothic" w:hAnsi="Century Gothic" w:cs="Calibri Light"/>
          <w:b/>
          <w:sz w:val="22"/>
          <w:szCs w:val="22"/>
        </w:rPr>
        <w:t>Balatonberény</w:t>
      </w:r>
      <w:r w:rsidR="00EC6BA5" w:rsidRPr="00C3464E">
        <w:rPr>
          <w:rFonts w:ascii="Century Gothic" w:hAnsi="Century Gothic" w:cs="Calibri Light"/>
          <w:b/>
          <w:sz w:val="22"/>
          <w:szCs w:val="22"/>
        </w:rPr>
        <w:t xml:space="preserve"> Község Önkormányzat</w:t>
      </w:r>
      <w:r w:rsidRPr="00C3464E">
        <w:rPr>
          <w:rFonts w:ascii="Century Gothic" w:hAnsi="Century Gothic" w:cs="Calibri Light"/>
          <w:b/>
          <w:sz w:val="22"/>
          <w:szCs w:val="22"/>
        </w:rPr>
        <w:t>ának a</w:t>
      </w:r>
      <w:r w:rsidR="00EC6BA5" w:rsidRPr="00C3464E">
        <w:rPr>
          <w:rFonts w:ascii="Century Gothic" w:hAnsi="Century Gothic" w:cs="Calibri Light"/>
          <w:b/>
          <w:sz w:val="22"/>
          <w:szCs w:val="22"/>
        </w:rPr>
        <w:t xml:space="preserve"> közterületek használatáról szóló </w:t>
      </w:r>
      <w:r w:rsidR="00EC6BA5" w:rsidRPr="00C3464E">
        <w:rPr>
          <w:rFonts w:ascii="Century Gothic" w:hAnsi="Century Gothic" w:cs="Calibri Light"/>
          <w:b/>
          <w:color w:val="231F20"/>
          <w:spacing w:val="-2"/>
          <w:sz w:val="22"/>
          <w:szCs w:val="22"/>
        </w:rPr>
        <w:t>önkormányzati rendelet megalkotásához</w:t>
      </w:r>
    </w:p>
    <w:p w:rsidR="00EC6BA5" w:rsidRPr="00C3464E" w:rsidRDefault="00EC6BA5" w:rsidP="00EC6BA5">
      <w:pPr>
        <w:jc w:val="center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(a jogalkotásról szóló 2010. évi CXXX. törvény 17.§-</w:t>
      </w:r>
      <w:proofErr w:type="gramStart"/>
      <w:r w:rsidRPr="00C3464E">
        <w:rPr>
          <w:rFonts w:ascii="Century Gothic" w:hAnsi="Century Gothic" w:cs="Calibri Light"/>
          <w:color w:val="231F20"/>
          <w:spacing w:val="-2"/>
          <w:sz w:val="22"/>
        </w:rPr>
        <w:t>a</w:t>
      </w:r>
      <w:proofErr w:type="gramEnd"/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alapján)</w:t>
      </w:r>
    </w:p>
    <w:p w:rsidR="00EC6BA5" w:rsidRPr="00C3464E" w:rsidRDefault="00EC6BA5" w:rsidP="00EC6BA5">
      <w:pPr>
        <w:rPr>
          <w:rFonts w:ascii="Century Gothic" w:hAnsi="Century Gothic" w:cs="Calibri Light"/>
          <w:color w:val="231F20"/>
          <w:spacing w:val="-2"/>
          <w:sz w:val="22"/>
        </w:rPr>
      </w:pPr>
    </w:p>
    <w:p w:rsidR="00EC6BA5" w:rsidRPr="00C3464E" w:rsidRDefault="00EC6BA5" w:rsidP="00EC6BA5">
      <w:pPr>
        <w:rPr>
          <w:rFonts w:ascii="Century Gothic" w:hAnsi="Century Gothic" w:cs="Calibri Light"/>
          <w:b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A jogszabály megalkotásának célja</w:t>
      </w:r>
    </w:p>
    <w:p w:rsidR="00EC6BA5" w:rsidRPr="00C3464E" w:rsidRDefault="00EC6BA5" w:rsidP="00C3464E">
      <w:pPr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color w:val="231F20"/>
          <w:spacing w:val="-2"/>
          <w:sz w:val="22"/>
        </w:rPr>
        <w:t>Balat</w:t>
      </w:r>
      <w:r w:rsidR="00856EC8" w:rsidRPr="00C3464E">
        <w:rPr>
          <w:rFonts w:ascii="Century Gothic" w:hAnsi="Century Gothic" w:cs="Calibri Light"/>
          <w:color w:val="231F20"/>
          <w:spacing w:val="-2"/>
          <w:sz w:val="22"/>
        </w:rPr>
        <w:t>onberény Község Önkormányzata 2015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>. évben alkotta meg a közterület</w:t>
      </w:r>
      <w:r w:rsidR="006A2043">
        <w:rPr>
          <w:rFonts w:ascii="Century Gothic" w:hAnsi="Century Gothic" w:cs="Calibri Light"/>
          <w:color w:val="231F20"/>
          <w:spacing w:val="-2"/>
          <w:sz w:val="22"/>
        </w:rPr>
        <w:t xml:space="preserve"> 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használatáról szóló önkormányzati rendeletét, melynek felülvizsgálatára az eltelt évek gyakorlati tapasztalatai, és újabb igények, helyzetek kezelése miatt ismét szükség van. </w:t>
      </w:r>
    </w:p>
    <w:p w:rsidR="00EC6BA5" w:rsidRPr="00C3464E" w:rsidRDefault="00EC6BA5" w:rsidP="00EC6BA5">
      <w:pPr>
        <w:rPr>
          <w:rFonts w:ascii="Century Gothic" w:hAnsi="Century Gothic" w:cs="Calibri Light"/>
          <w:color w:val="231F20"/>
          <w:spacing w:val="-2"/>
          <w:sz w:val="22"/>
        </w:rPr>
      </w:pPr>
    </w:p>
    <w:p w:rsidR="00EC6BA5" w:rsidRDefault="00EC6BA5" w:rsidP="00EC6BA5">
      <w:pPr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color w:val="231F20"/>
          <w:spacing w:val="-2"/>
          <w:sz w:val="22"/>
        </w:rPr>
        <w:t>A tervezett jogszabály várható következményei, különösen</w:t>
      </w:r>
    </w:p>
    <w:p w:rsidR="009979B5" w:rsidRPr="00C3464E" w:rsidRDefault="009979B5" w:rsidP="00EC6BA5">
      <w:pPr>
        <w:jc w:val="both"/>
        <w:rPr>
          <w:rFonts w:ascii="Century Gothic" w:hAnsi="Century Gothic" w:cs="Calibri Light"/>
          <w:color w:val="231F20"/>
          <w:spacing w:val="-2"/>
          <w:sz w:val="22"/>
        </w:rPr>
      </w:pPr>
    </w:p>
    <w:p w:rsidR="009979B5" w:rsidRDefault="00EC6BA5" w:rsidP="009979B5">
      <w:pPr>
        <w:pStyle w:val="Listaszerbekezds"/>
        <w:numPr>
          <w:ilvl w:val="0"/>
          <w:numId w:val="1"/>
        </w:numPr>
        <w:tabs>
          <w:tab w:val="left" w:pos="540"/>
          <w:tab w:val="left" w:pos="3600"/>
        </w:tabs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9979B5">
        <w:rPr>
          <w:rFonts w:ascii="Century Gothic" w:hAnsi="Century Gothic" w:cs="Calibri Light"/>
          <w:b/>
          <w:color w:val="231F20"/>
          <w:spacing w:val="-2"/>
          <w:sz w:val="22"/>
        </w:rPr>
        <w:t>társadalmi hatás</w:t>
      </w:r>
      <w:r w:rsidR="009979B5" w:rsidRPr="009979B5">
        <w:rPr>
          <w:rFonts w:ascii="Century Gothic" w:hAnsi="Century Gothic" w:cs="Calibri Light"/>
          <w:color w:val="231F20"/>
          <w:spacing w:val="-2"/>
          <w:sz w:val="22"/>
        </w:rPr>
        <w:t>: A rendelet</w:t>
      </w:r>
      <w:r w:rsidR="009979B5" w:rsidRPr="009979B5">
        <w:rPr>
          <w:rFonts w:ascii="Century Gothic" w:eastAsia="Times New Roman" w:hAnsi="Century Gothic" w:cs="Times New Roman"/>
          <w:sz w:val="22"/>
          <w:lang w:eastAsia="hu-HU"/>
        </w:rPr>
        <w:t xml:space="preserve"> szabályozza valamennyi érintett számára Balatonberény község közterületeinek használatát.</w:t>
      </w:r>
    </w:p>
    <w:p w:rsidR="00EC6BA5" w:rsidRPr="009979B5" w:rsidRDefault="00EC6BA5" w:rsidP="009979B5">
      <w:pPr>
        <w:pStyle w:val="Listaszerbekezds"/>
        <w:tabs>
          <w:tab w:val="left" w:pos="540"/>
          <w:tab w:val="left" w:pos="3600"/>
        </w:tabs>
        <w:ind w:left="0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9979B5">
        <w:rPr>
          <w:rFonts w:ascii="Century Gothic" w:hAnsi="Century Gothic" w:cs="Calibri Light"/>
          <w:color w:val="231F20"/>
          <w:spacing w:val="-2"/>
          <w:sz w:val="22"/>
        </w:rPr>
        <w:t xml:space="preserve"> </w:t>
      </w:r>
    </w:p>
    <w:p w:rsidR="00EC6BA5" w:rsidRPr="00493666" w:rsidRDefault="00EC6BA5" w:rsidP="00493666">
      <w:pPr>
        <w:numPr>
          <w:ilvl w:val="0"/>
          <w:numId w:val="1"/>
        </w:numPr>
        <w:spacing w:after="200" w:line="276" w:lineRule="auto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gazdasági hatása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: </w:t>
      </w:r>
      <w:r w:rsidR="00493666">
        <w:rPr>
          <w:rFonts w:ascii="Century Gothic" w:eastAsia="Times New Roman" w:hAnsi="Century Gothic" w:cs="Times New Roman"/>
          <w:sz w:val="22"/>
          <w:lang w:eastAsia="hu-HU"/>
        </w:rPr>
        <w:t>A közterület-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t>használati díj az önkormányzati bevétel kevésbé meghatározó</w:t>
      </w:r>
      <w:r w:rsidR="00493666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t>eleme. A díjmértékek emelésével az önkormányzati költségvetés bevétele kisebb mértékben növekedhet.</w:t>
      </w:r>
    </w:p>
    <w:p w:rsidR="00EC6BA5" w:rsidRPr="00C3464E" w:rsidRDefault="00EC6BA5" w:rsidP="00EC6BA5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környezeti következményei: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</w:t>
      </w:r>
      <w:r w:rsidR="00493666">
        <w:rPr>
          <w:rFonts w:ascii="Century Gothic" w:hAnsi="Century Gothic" w:cs="Calibri Light"/>
          <w:color w:val="231F20"/>
          <w:spacing w:val="-2"/>
          <w:sz w:val="22"/>
        </w:rPr>
        <w:t>közvetlen környezeti hatása nincs</w:t>
      </w:r>
      <w:r w:rsidR="00C3464E">
        <w:rPr>
          <w:rFonts w:ascii="Century Gothic" w:hAnsi="Century Gothic" w:cs="Calibri Light"/>
          <w:color w:val="231F20"/>
          <w:spacing w:val="-2"/>
          <w:sz w:val="22"/>
        </w:rPr>
        <w:t>.</w:t>
      </w:r>
    </w:p>
    <w:p w:rsidR="00EC6BA5" w:rsidRPr="00C3464E" w:rsidRDefault="00EC6BA5" w:rsidP="00EC6BA5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egészségi következményei</w:t>
      </w:r>
      <w:r w:rsidR="00493666">
        <w:rPr>
          <w:rFonts w:ascii="Century Gothic" w:hAnsi="Century Gothic" w:cs="Calibri Light"/>
          <w:color w:val="231F20"/>
          <w:spacing w:val="-2"/>
          <w:sz w:val="22"/>
        </w:rPr>
        <w:t>: a rendeletnek közvetlen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egészségi következménye nincs</w:t>
      </w:r>
      <w:r w:rsidR="00C3464E">
        <w:rPr>
          <w:rFonts w:ascii="Century Gothic" w:hAnsi="Century Gothic" w:cs="Calibri Light"/>
          <w:color w:val="231F20"/>
          <w:spacing w:val="-2"/>
          <w:sz w:val="22"/>
        </w:rPr>
        <w:t>.</w:t>
      </w:r>
    </w:p>
    <w:p w:rsidR="00EC6BA5" w:rsidRPr="00493666" w:rsidRDefault="00EC6BA5" w:rsidP="00493666">
      <w:pPr>
        <w:numPr>
          <w:ilvl w:val="0"/>
          <w:numId w:val="1"/>
        </w:numPr>
        <w:spacing w:after="200" w:line="276" w:lineRule="auto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adminisztratív terheket befolyásoló hatásai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: 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t>A rendelet megalkotásának az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br/>
        <w:t>adminisztratív terheket tekintve új, többlet terheket eredményező hatása nincs, a rendelet</w:t>
      </w:r>
      <w:r w:rsidR="00493666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t>alkalmazása az</w:t>
      </w:r>
      <w:r w:rsidR="00493666">
        <w:rPr>
          <w:rFonts w:ascii="Century Gothic" w:eastAsia="Times New Roman" w:hAnsi="Century Gothic" w:cs="Times New Roman"/>
          <w:sz w:val="22"/>
          <w:lang w:eastAsia="hu-HU"/>
        </w:rPr>
        <w:t xml:space="preserve"> eddigi adminisztratív munkával </w:t>
      </w:r>
      <w:r w:rsidR="00493666" w:rsidRPr="00493666">
        <w:rPr>
          <w:rFonts w:ascii="Century Gothic" w:eastAsia="Times New Roman" w:hAnsi="Century Gothic" w:cs="Times New Roman"/>
          <w:sz w:val="22"/>
          <w:lang w:eastAsia="hu-HU"/>
        </w:rPr>
        <w:t>teljesíthető.</w:t>
      </w:r>
    </w:p>
    <w:p w:rsidR="00EC6BA5" w:rsidRPr="00C3464E" w:rsidRDefault="00EC6BA5" w:rsidP="00EC6BA5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megalkotásának szükségessége</w:t>
      </w:r>
      <w:r w:rsidR="00493666">
        <w:rPr>
          <w:rFonts w:ascii="Century Gothic" w:hAnsi="Century Gothic" w:cs="Calibri Light"/>
          <w:color w:val="231F20"/>
          <w:spacing w:val="-2"/>
          <w:sz w:val="22"/>
        </w:rPr>
        <w:t xml:space="preserve">: 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>megfelelés a jogszabályi előírásoknak, a gyakorlati tapasztalatok, és felmerült igények szabályozása</w:t>
      </w:r>
      <w:r w:rsidR="00856EC8" w:rsidRPr="00C3464E">
        <w:rPr>
          <w:rFonts w:ascii="Century Gothic" w:hAnsi="Century Gothic" w:cs="Calibri Light"/>
          <w:color w:val="231F20"/>
          <w:spacing w:val="-2"/>
          <w:sz w:val="22"/>
        </w:rPr>
        <w:t>.</w:t>
      </w:r>
      <w:r w:rsidR="00493666" w:rsidRPr="00493666">
        <w:rPr>
          <w:rFonts w:eastAsia="Times New Roman" w:cs="Times New Roman"/>
          <w:sz w:val="27"/>
          <w:szCs w:val="27"/>
          <w:lang w:eastAsia="hu-HU"/>
        </w:rPr>
        <w:t xml:space="preserve"> </w:t>
      </w:r>
    </w:p>
    <w:p w:rsidR="00EC6BA5" w:rsidRDefault="00EC6BA5" w:rsidP="00EC6BA5">
      <w:pPr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b/>
          <w:color w:val="231F20"/>
          <w:spacing w:val="-2"/>
          <w:sz w:val="22"/>
        </w:rPr>
        <w:t>alkalmazásához szükséges személyi, szervezeti, tárgyi és pénzügyi feltételek:</w:t>
      </w: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a jelenlegi feltételeken felül többletet nem igényel.</w:t>
      </w:r>
    </w:p>
    <w:p w:rsidR="003B18DD" w:rsidRPr="003B18DD" w:rsidRDefault="003B18DD" w:rsidP="003B18DD">
      <w:pPr>
        <w:pStyle w:val="Listaszerbekezds"/>
        <w:numPr>
          <w:ilvl w:val="0"/>
          <w:numId w:val="1"/>
        </w:numPr>
        <w:tabs>
          <w:tab w:val="left" w:pos="540"/>
          <w:tab w:val="left" w:pos="3600"/>
        </w:tabs>
        <w:jc w:val="both"/>
        <w:rPr>
          <w:rFonts w:ascii="Century Gothic" w:hAnsi="Century Gothic"/>
          <w:sz w:val="22"/>
        </w:rPr>
      </w:pPr>
      <w:r w:rsidRPr="003B18DD">
        <w:rPr>
          <w:rFonts w:ascii="Century Gothic" w:hAnsi="Century Gothic"/>
          <w:b/>
          <w:sz w:val="22"/>
        </w:rPr>
        <w:t xml:space="preserve">A jogalkotás elmaradásának várható következményei: </w:t>
      </w:r>
      <w:r w:rsidRPr="003B18DD">
        <w:rPr>
          <w:rFonts w:ascii="Century Gothic" w:hAnsi="Century Gothic"/>
          <w:b/>
          <w:sz w:val="22"/>
        </w:rPr>
        <w:tab/>
      </w:r>
      <w:r w:rsidRPr="003B18DD">
        <w:rPr>
          <w:rFonts w:ascii="Century Gothic" w:hAnsi="Century Gothic"/>
          <w:sz w:val="22"/>
        </w:rPr>
        <w:t>a Somogy</w:t>
      </w:r>
      <w:r w:rsidR="00B31110">
        <w:rPr>
          <w:rFonts w:ascii="Century Gothic" w:hAnsi="Century Gothic"/>
          <w:sz w:val="22"/>
        </w:rPr>
        <w:t xml:space="preserve"> Megyei Kormányhivatal törvényességi felhívással élhet.</w:t>
      </w:r>
      <w:bookmarkStart w:id="0" w:name="_GoBack"/>
      <w:bookmarkEnd w:id="0"/>
    </w:p>
    <w:p w:rsidR="003B18DD" w:rsidRPr="003B18DD" w:rsidRDefault="003B18DD" w:rsidP="003B18DD">
      <w:pPr>
        <w:pStyle w:val="Listaszerbekezds"/>
        <w:tabs>
          <w:tab w:val="left" w:pos="540"/>
          <w:tab w:val="left" w:pos="3600"/>
        </w:tabs>
        <w:ind w:left="1080"/>
        <w:jc w:val="both"/>
        <w:rPr>
          <w:rFonts w:ascii="Century Gothic" w:hAnsi="Century Gothic"/>
          <w:sz w:val="22"/>
        </w:rPr>
      </w:pPr>
    </w:p>
    <w:p w:rsidR="00EC6BA5" w:rsidRPr="00C3464E" w:rsidRDefault="00EC6BA5" w:rsidP="00EC6BA5">
      <w:pPr>
        <w:jc w:val="both"/>
        <w:rPr>
          <w:rFonts w:ascii="Century Gothic" w:hAnsi="Century Gothic" w:cs="Calibri Light"/>
          <w:color w:val="231F20"/>
          <w:spacing w:val="-2"/>
          <w:sz w:val="22"/>
        </w:rPr>
      </w:pPr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A rendelet-tervezet vonatkozásában az Európai Unió intézményeivel és tagállamaival </w:t>
      </w:r>
      <w:proofErr w:type="gramStart"/>
      <w:r w:rsidRPr="00C3464E">
        <w:rPr>
          <w:rFonts w:ascii="Century Gothic" w:hAnsi="Century Gothic" w:cs="Calibri Light"/>
          <w:color w:val="231F20"/>
          <w:spacing w:val="-2"/>
          <w:sz w:val="22"/>
        </w:rPr>
        <w:t>egyeztetési</w:t>
      </w:r>
      <w:proofErr w:type="gramEnd"/>
      <w:r w:rsidRPr="00C3464E">
        <w:rPr>
          <w:rFonts w:ascii="Century Gothic" w:hAnsi="Century Gothic" w:cs="Calibri Light"/>
          <w:color w:val="231F20"/>
          <w:spacing w:val="-2"/>
          <w:sz w:val="22"/>
        </w:rPr>
        <w:t xml:space="preserve"> kötelezettség nem áll fenn, nem tartozik az előzetes bejelentési kötelezettség alá tartozó jogszabály tervezetek közé.</w:t>
      </w:r>
    </w:p>
    <w:p w:rsidR="00EC6BA5" w:rsidRPr="00C3464E" w:rsidRDefault="00EC6BA5" w:rsidP="00EC6BA5">
      <w:pPr>
        <w:pStyle w:val="Szvegtrzs3"/>
        <w:spacing w:after="0"/>
        <w:rPr>
          <w:rFonts w:ascii="Century Gothic" w:hAnsi="Century Gothic" w:cs="Calibri Light"/>
          <w:sz w:val="22"/>
          <w:szCs w:val="22"/>
        </w:rPr>
      </w:pPr>
    </w:p>
    <w:p w:rsidR="00EC6BA5" w:rsidRDefault="00EC6BA5" w:rsidP="00EC6BA5">
      <w:pPr>
        <w:pStyle w:val="Szvegtrzs3"/>
        <w:spacing w:after="0"/>
        <w:rPr>
          <w:rFonts w:ascii="Calibri Light" w:hAnsi="Calibri Light" w:cs="Calibri Light"/>
          <w:sz w:val="20"/>
          <w:szCs w:val="20"/>
        </w:rPr>
      </w:pPr>
    </w:p>
    <w:p w:rsidR="00EC6BA5" w:rsidRDefault="00EC6BA5" w:rsidP="00EC6BA5">
      <w:pPr>
        <w:pStyle w:val="Szvegtrzs3"/>
        <w:spacing w:after="0"/>
        <w:rPr>
          <w:rFonts w:ascii="Calibri Light" w:hAnsi="Calibri Light" w:cs="Calibri Light"/>
          <w:sz w:val="20"/>
          <w:szCs w:val="20"/>
        </w:rPr>
      </w:pPr>
    </w:p>
    <w:p w:rsidR="00EC6BA5" w:rsidRDefault="00EC6BA5" w:rsidP="00EC6BA5">
      <w:pPr>
        <w:pStyle w:val="Szvegtrzs3"/>
        <w:spacing w:after="0"/>
        <w:rPr>
          <w:rFonts w:ascii="Calibri Light" w:hAnsi="Calibri Light" w:cs="Calibri Light"/>
          <w:sz w:val="20"/>
          <w:szCs w:val="20"/>
        </w:rPr>
      </w:pPr>
    </w:p>
    <w:p w:rsidR="00EC6BA5" w:rsidRDefault="00EC6BA5" w:rsidP="00EC6BA5">
      <w:pPr>
        <w:pStyle w:val="Szvegtrzs3"/>
        <w:spacing w:after="0"/>
        <w:rPr>
          <w:rFonts w:ascii="Calibri Light" w:hAnsi="Calibri Light" w:cs="Calibri Light"/>
          <w:sz w:val="20"/>
          <w:szCs w:val="20"/>
        </w:rPr>
      </w:pPr>
    </w:p>
    <w:p w:rsidR="00EC6BA5" w:rsidRDefault="00EC6BA5" w:rsidP="00EC6BA5">
      <w:pPr>
        <w:pStyle w:val="Szvegtrzs3"/>
        <w:spacing w:after="0"/>
        <w:rPr>
          <w:rFonts w:ascii="Calibri Light" w:hAnsi="Calibri Light" w:cs="Calibri Light"/>
          <w:sz w:val="20"/>
          <w:szCs w:val="20"/>
        </w:rPr>
      </w:pPr>
    </w:p>
    <w:p w:rsidR="00EC7F2C" w:rsidRDefault="00EC7F2C"/>
    <w:sectPr w:rsidR="00EC7F2C" w:rsidSect="000E0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217F2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BA5"/>
    <w:rsid w:val="000E0F3C"/>
    <w:rsid w:val="003B18DD"/>
    <w:rsid w:val="00493666"/>
    <w:rsid w:val="005B5E0D"/>
    <w:rsid w:val="006A2043"/>
    <w:rsid w:val="00827FDD"/>
    <w:rsid w:val="00856EC8"/>
    <w:rsid w:val="009979B5"/>
    <w:rsid w:val="00B31110"/>
    <w:rsid w:val="00C0358A"/>
    <w:rsid w:val="00C3464E"/>
    <w:rsid w:val="00CA604B"/>
    <w:rsid w:val="00EC6BA5"/>
    <w:rsid w:val="00EC7F2C"/>
    <w:rsid w:val="00F7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B991"/>
  <w15:docId w15:val="{081D26C9-1AE5-4D0C-A5ED-AB217625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6BA5"/>
    <w:pPr>
      <w:spacing w:after="0" w:line="240" w:lineRule="auto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nhideWhenUsed/>
    <w:rsid w:val="00EC6BA5"/>
    <w:pPr>
      <w:spacing w:after="120"/>
      <w:jc w:val="both"/>
    </w:pPr>
    <w:rPr>
      <w:rFonts w:eastAsia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EC6BA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997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7</cp:revision>
  <dcterms:created xsi:type="dcterms:W3CDTF">2021-06-14T08:57:00Z</dcterms:created>
  <dcterms:modified xsi:type="dcterms:W3CDTF">2022-08-02T11:28:00Z</dcterms:modified>
</cp:coreProperties>
</file>