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E95" w:rsidRPr="00D92E95" w:rsidRDefault="00D92E95" w:rsidP="00D92E9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D92E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Balatonberény Község Önkormányzat Képviselő-testülete 14/2017. (XII.1.) önkormányzati rendelete</w:t>
      </w:r>
    </w:p>
    <w:p w:rsidR="00D92E95" w:rsidRPr="00D92E95" w:rsidRDefault="00D92E95" w:rsidP="00D92E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  <w:proofErr w:type="gramStart"/>
      <w:r w:rsidRPr="00D92E95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>a</w:t>
      </w:r>
      <w:proofErr w:type="gramEnd"/>
      <w:r w:rsidRPr="00D92E95"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  <w:t xml:space="preserve"> helyi adókról</w:t>
      </w:r>
    </w:p>
    <w:p w:rsidR="00D92E95" w:rsidRPr="00D92E95" w:rsidRDefault="00D92E95" w:rsidP="00D92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Hatályos: 2018. 06. 30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Balatonberény Község Önkormányzatának Képviselő-testülete a helyi adókról szóló </w:t>
      </w:r>
      <w:hyperlink r:id="rId5" w:anchor="SZ1@BE1" w:tgtFrame="_blank" w:history="1">
        <w:r w:rsidRPr="00D92E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 xml:space="preserve">1990. évi C. törvény (a továbbiakban: </w:t>
        </w:r>
        <w:proofErr w:type="spellStart"/>
        <w:r w:rsidRPr="00D92E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Hatv</w:t>
        </w:r>
        <w:proofErr w:type="spellEnd"/>
        <w:r w:rsidRPr="00D92E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 xml:space="preserve">.) 1. § (1) </w:t>
        </w:r>
        <w:proofErr w:type="gramStart"/>
        <w:r w:rsidRPr="00D92E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bekezdés</w:t>
        </w:r>
      </w:hyperlink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ében</w:t>
      </w:r>
      <w:proofErr w:type="gram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felhatalmazása alapján, </w:t>
      </w:r>
      <w:hyperlink r:id="rId6" w:anchor="CA32@BE1@POH" w:tgtFrame="_blank" w:history="1">
        <w:r w:rsidRPr="00D92E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az Alaptörvény 32. cikk (1) bekezdés h) pont</w:t>
        </w:r>
      </w:hyperlink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jában meghatározott feladatkörében a következőket rendeli el: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1. § E rendelet alkalmazásában: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Életvitelszerű lakóhely: Amennyiben a természetes </w:t>
      </w:r>
      <w:proofErr w:type="gram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 adózó</w:t>
      </w:r>
      <w:proofErr w:type="gram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adóhatóság felé bejelentett lakását, üdülőjét otthonául használja, és ebből az ingatlanból szervezi az életét, családi élete helyszínéül szolgál, rendszeresen innen indul munkába vagy oktatási intézménybe, ide tér haza. A lakás, üdülő vonatkozásában az év minden hónapjában közüzemi szolgáltatásokat vesz </w:t>
      </w:r>
      <w:proofErr w:type="spell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igénybe.</w:t>
      </w:r>
      <w:proofErr w:type="gram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lakás, üdülő ingatlan-nyilvántartás szerinti címe szerepel elsődleges elérési címeként a hatóságoknál, közműszolgáltatóknál, és a magánszemély adózó nem rendelkezik más olyan lakással, üdülővel melyet </w:t>
      </w:r>
      <w:proofErr w:type="spell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életvitelszerűen</w:t>
      </w:r>
      <w:proofErr w:type="spell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 és ezt a tényt, valamint az adótárgyként megadott lakás, üdülő életvitelszerű használatának tényét az adóhatóság felé hitelt érdemlően igazolja. Önmagában az a körülmény, hogy az adózónak Balatonberényben bejelentett, hatóságilag nyilvántartott lakcíme van, még nem feltétlenül jelenti azt, hogy ez a hely tekintendő az életvitelszerű lakóhelyének. Életvitelszerű lakóhelynek csakis az a hely tekinthető, amely szoros és tartós kapcsolatot jelent az adózó és Balatonberény község között.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Az </w:t>
      </w:r>
      <w:proofErr w:type="gram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adótárgy lakás</w:t>
      </w:r>
      <w:proofErr w:type="gram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üdülő életvitelszerű használatának igazolásának módja: lakcímkártya bemutatásával, közjegyzői okiratba foglalt nyilatkozattal, jogerős bírósági határozattal, amennyiben abból az életvitelszerű használat ténye megállapítható, valamint bejegyzett élettársi kapcsolatra vonatkozó okirattal, amennyiben abból a közös háztartás helye, valamint annak életvitelszerű használata megállapítható. Kétség esetén az adózó köteles az adóhatóság felhívásában foglalt olyan </w:t>
      </w:r>
      <w:proofErr w:type="gram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</w:t>
      </w:r>
      <w:proofErr w:type="gram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becsatolására, melyből az életvitelszerű lakóhely ténye megállapítható.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c) Üzleti célt szolgáló építmény: olyan épület, épületrész, amit a vállalkozó bevétel-, nyereség-, jövedelemszerzése érdekében használ, vagy ezzel kapcsolatosan költséget számol el.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d) Működő kereskedelmi egység, szállásépület, egyéb nem lakás céljára szolgáló épület: Az ingatlan nyilvántartásban bejegyzett művelési ágnak megfelelően, működési engedély birtokában hasznosított épület.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2. § Az Önkormányzat a következő helyi adókat vezeti be: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</w:t>
      </w:r>
      <w:proofErr w:type="gram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) az építményadó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b) a telekadó,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magánszemélyek </w:t>
      </w:r>
      <w:proofErr w:type="gram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kommunális</w:t>
      </w:r>
      <w:proofErr w:type="gram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adója,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d) az idegenforgalmi adó,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) helyi iparűzési adó.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Építményadó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3. § Az adó alapja az építmény 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-ben számított hasznos alapterülete.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4. § (1) Az adó mértéke 900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/év.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(2) Éves vagy idényjelleggel ténylegesen működő kereskedelmi egység, szállásépület, egyéb nem lakás céljára szolgáló épület után az adó mértéke 500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/év.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5. § (1) Mentes az adó alól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) a gépjármű tároló és a csónaktároló céljára használt építmények adóköteles alapterületéből 16 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b) a fedett nyitott terasz,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az önkormányzat illetékességi területén ténylegesen </w:t>
      </w:r>
      <w:proofErr w:type="spell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életvitelszerűen</w:t>
      </w:r>
      <w:proofErr w:type="spell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élő magánszemély adóalany tulajdonát, vagy részben tulajdonát képező lakás, üdülő,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a-c) pontokban felsorolt mentességek nem alkalmazhatók a vállalkozói tevékenységet folytató adóalany üzleti célt szolgáló építménye esetében.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6. § (1) 270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/év adókedvezményre jogosult a belterületi építmény, ha az építési idő óta több mint 100 év igazoltan eltelt és az építmény átépítésre nem került.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(2) 450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/év adókedvezményre jogosult a magánszemély adóalany tulajdonában álló lakás és üdülő, és a lakással-üdülővel egy telken lévő egyéb épület.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(3) 540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/év adókedvezményre jogosult az az építmény, amely esetében a (1) –</w:t>
      </w:r>
      <w:hyperlink r:id="rId7" w:anchor="SZ6.@BE(2)" w:history="1">
        <w:r w:rsidRPr="00D92E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(2) bekezdés</w:t>
        </w:r>
      </w:hyperlink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ben meghatározott feltételből együttesen kettő vagy több feltétel fennáll.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(4) 675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/év adókedvezményre jogosult a zártkerti és külterületi építmény.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</w:t>
      </w:r>
      <w:hyperlink r:id="rId8" w:anchor="SZ6.@BE(1)" w:history="1">
        <w:r w:rsidRPr="00D92E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(1)–(4) bekezdés</w:t>
        </w:r>
      </w:hyperlink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ben foglalt adókedvezmény a vállalkozó üzleti célt szolgáló építménye esetében nem alkalmazható</w:t>
      </w:r>
    </w:p>
    <w:p w:rsidR="00D92E95" w:rsidRPr="00D92E95" w:rsidRDefault="00D92E95" w:rsidP="00D92E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 Telekadó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7. § Az adó alapja a telek 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-ben számított területe.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8. § (1) Az adó mértéke 230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/év.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(2) Külterületen lévő telek esetében az adó mértéke 20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/év.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(3) Lakóövezetben lévő, éves vagy idényjelleggel tényleges működő kereskedelmi egységgel, vagy szállásépülettel, vagy egyéb nem lakás céljára szolgáló épülettel beépített telek esetén az adó mértéke 40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/év.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(4) Üdülőövezetben lévő, éves vagy idényjelleggel ténylegesen működő kereskedelmi egységgel, vagy szállásépülettel, vagy egyéb nem lakás céljára szolgáló épülettel beépített telek esetén az adó mértéke 130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/év.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A József Attila utcai telkek déli telekhatáraitól délre eső és a 036/1, 048 </w:t>
      </w:r>
      <w:proofErr w:type="spell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hrsz</w:t>
      </w:r>
      <w:proofErr w:type="spell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és 7-es </w:t>
      </w:r>
      <w:proofErr w:type="spell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főközlekedési</w:t>
      </w:r>
      <w:proofErr w:type="spell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 által határolt területen az adó mértéke 20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/év.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9. § (1) Mentes az adó alól a magánszemély adóalany tulajdonát képező- a </w:t>
      </w:r>
      <w:hyperlink r:id="rId9" w:tgtFrame="_blank" w:history="1">
        <w:proofErr w:type="spellStart"/>
        <w:r w:rsidRPr="00D92E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Hatv</w:t>
        </w:r>
        <w:proofErr w:type="spellEnd"/>
        <w:r w:rsidRPr="00D92E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.</w:t>
        </w:r>
      </w:hyperlink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</w:t>
      </w:r>
      <w:proofErr w:type="gram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adómentes – lakással, üdülővel beépített telek, kivéve azt a telket, amelyből telekalakítással új beépíthető telek alakítható ki. Üdülőövezetben lévő beépített telek esetében az adómentes terület az 1500 m2-ert csak akkor haladhatja meg, ha a </w:t>
      </w:r>
      <w:proofErr w:type="spell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Hatv-ben</w:t>
      </w:r>
      <w:proofErr w:type="spell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biztosított adómentes terület ennél nagyobb.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</w:t>
      </w:r>
      <w:hyperlink r:id="rId10" w:anchor="SZ9.@BE(1)" w:history="1">
        <w:r w:rsidRPr="00D92E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(1) bekezdés</w:t>
        </w:r>
      </w:hyperlink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nem adómentes telek teljes területéből a </w:t>
      </w:r>
      <w:proofErr w:type="spell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Hatv-ben</w:t>
      </w:r>
      <w:proofErr w:type="spell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adómentességen kívül adómentes a Helyi Építési Szabályzat által megállapított, a telek elhelyezkedése szerinti övezetre érvényes legkisebb kialakítható teleknagyságot meghaladó telek.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(3) Mentes az adó alól – kérelemre - az építési engedéllyel rendelkező telek az építési engedély jogerőre emelkedését követő év január 1. napjától számított 4 évig. Ha a telek ezen időszak alatt nem épül be, a telekadó visszamenőlegesen esedékessé válik. A határidő indokolt esetben egy évvel meghosszabbítható.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(4) Mentes az adó alól az a telek, amely közúttal nem érintkezik és telekalakítással sem válik beépíthetővé.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Mentes az adó alól a közúttal érintkező, de </w:t>
      </w:r>
      <w:proofErr w:type="spell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közművesítetlen</w:t>
      </w:r>
      <w:proofErr w:type="spell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telek. A telekadó szempontjából </w:t>
      </w:r>
      <w:proofErr w:type="spell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közművesítetlen</w:t>
      </w:r>
      <w:proofErr w:type="spell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 telek, amely olyan közúttal érintkezik, amelyben a víz, szennyvízcsatorna és villany közmű nincs kiépítve.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(1) –</w:t>
      </w:r>
      <w:hyperlink r:id="rId11" w:anchor="SZ9.@BE(5)" w:history="1">
        <w:r w:rsidRPr="00D92E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(5) bekezdés</w:t>
        </w:r>
      </w:hyperlink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ben felsorolt mentességek a vállalkozó üzleti célt szolgáló telke esetében nem alkalmazhatók.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10. § (1) 210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/év adókedvezményre jogosult a telek, ha a lakóövezetben lévő telek tulajdonosai között az önkormányzat illetékességi területén ténylegesen </w:t>
      </w:r>
      <w:proofErr w:type="spell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életvitelszerűen</w:t>
      </w:r>
      <w:proofErr w:type="spell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élő magánszemély adóalany is van.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(2) 190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/év adókedvezményre jogosult a telek, ha az üdülőövezetben lévő telek tulajdonosai között az önkormányzat illetékességi területén ténylegesen </w:t>
      </w:r>
      <w:proofErr w:type="spell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életvitelszerűen</w:t>
      </w:r>
      <w:proofErr w:type="spell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élő magánszemély adóalany is van.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(3) 190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/év adókedvezményre jogosult a magánszemély adóalany tulajdonában álló lakóövezetben lévő telek.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[4]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(4) 160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/év adókedvezményre jogosult a magánszemély adóalany tulajdonában álló üdülőövezetben lévő telek.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[5]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(5) 205 Ft/m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/év adókedvezményre jogosult a magánszemély adóalany tulajdonában álló lakóövezetben lévő telek, ha a telek adóköteles alapterülete az 1000 m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-t meghaladja.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[6]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(6)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1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(7)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11. § (1) Az adókedvezmény csak egy jogcímen vehető igénybe.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Ha a telek szélessége miatt építési engedély nem adható, úgy a </w:t>
      </w:r>
      <w:hyperlink r:id="rId12" w:anchor="SZ10." w:history="1">
        <w:r w:rsidRPr="00D92E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10. §</w:t>
        </w:r>
      </w:hyperlink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megállapított adókedvezmény valamelyikével csökkentett adó 50 %-át kell megfizetni.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12. § A </w:t>
      </w:r>
      <w:hyperlink r:id="rId13" w:anchor="SZ10." w:history="1">
        <w:r w:rsidRPr="00D92E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10. §</w:t>
        </w:r>
      </w:hyperlink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kedvezmények a vállalkozó üzleti célt szolgáló telke esetében nem alkalmazható.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 Magánszemélyek </w:t>
      </w:r>
      <w:proofErr w:type="gramStart"/>
      <w:r w:rsidRPr="00D92E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kommunális</w:t>
      </w:r>
      <w:proofErr w:type="gramEnd"/>
      <w:r w:rsidRPr="00D92E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adója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13. § Az adó mértéke adótárgyanként 14.000 Ft/év.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14. § (1) Mentes az adó alól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) a lakás- és üdülőépületen kívül minden építmény és telek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lakás, üdülő amennyiben egyik tulajdonosa sem ténylegesen </w:t>
      </w:r>
      <w:proofErr w:type="spell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életvitelszerűen</w:t>
      </w:r>
      <w:proofErr w:type="spell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élő magánszemély adóalany Balatonberényben.</w:t>
      </w:r>
      <w:r w:rsidRPr="00D92E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[8]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lakásbérleti jogviszony alapján adókötelezett az adómérték 50 %-</w:t>
      </w:r>
      <w:proofErr w:type="spell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áig</w:t>
      </w:r>
      <w:proofErr w:type="spell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mentes</w:t>
      </w:r>
      <w:proofErr w:type="gram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 Idegenforgalmi adó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15. § Az adó alapja a megkezdett vendégéjszakák száma.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16. § Az adó mértéke személyenként és vendégéjszakánként 400 Ft.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17. § Mentes az adókötelezettség alól az önkormányzat által meghívott bel- és külföldi vendég.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18. § (1) Az adó beszedésére kötelezett befizetési kötelezettsége teljesítésének ellenőrizhetősége érdekében a nála elszállásolt vendégekről nyilvántartást vezet.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nyilvántartásnak tartalmaznia kell: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) a szálláshely megnevezését és címét,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b) a vendég vezeték- és utónevét, születési helyét, idejét, állampolgárságát, lakcímét, személyi igazolvány, vagy útlevél számát,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c) a vendég érkezésének és távozásának időpontját,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d) mentességi okot,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) a vendég aláírását, mellyel a nyilvántartásban rögzített adatok hitelességét igazolja.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nyilvántartást az egyes bevallási időszakok végén le kell zárni, s meg kell állapítani a fizetendő adót.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 Helyi iparűzési adó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19. § (1) Állandó jelleggel végzett iparűzési tevékenység esetén az adó mértéke az adóalap 2 %-</w:t>
      </w:r>
      <w:proofErr w:type="gramStart"/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  <w:proofErr w:type="gramEnd"/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(2) Ideiglenes tevékenység esetén az iparűzési adó mértéke naponként 1000 Ft.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20. § Mentes a helyi iparűzési adófizetési kötelezettség alól a vállalkozó, ha e tevékenységéből elért vállalkozási szintű adóalapja az adóévben a 300 000 Ft-ot nem haladja meg.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6. Hatálybalépés</w:t>
      </w:r>
      <w:bookmarkStart w:id="0" w:name="_GoBack"/>
      <w:bookmarkEnd w:id="0"/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21. § (1) Ez a rendelet 2018. január 1. napján lép hatályba.</w:t>
      </w:r>
    </w:p>
    <w:p w:rsidR="00D92E95" w:rsidRPr="00D92E95" w:rsidRDefault="00D92E95" w:rsidP="00D92E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2E95">
        <w:rPr>
          <w:rFonts w:ascii="Times New Roman" w:eastAsia="Times New Roman" w:hAnsi="Times New Roman" w:cs="Times New Roman"/>
          <w:sz w:val="24"/>
          <w:szCs w:val="24"/>
          <w:lang w:eastAsia="hu-HU"/>
        </w:rPr>
        <w:t>(2) Hatályát veszti a helyi adókról szóló 12/2015.(XI.27.) önkormányzati rendelet.</w:t>
      </w:r>
    </w:p>
    <w:sectPr w:rsidR="00D92E95" w:rsidRPr="00D92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3691"/>
    <w:multiLevelType w:val="multilevel"/>
    <w:tmpl w:val="2B04A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377013"/>
    <w:multiLevelType w:val="multilevel"/>
    <w:tmpl w:val="8DDCD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95"/>
    <w:rsid w:val="00D26731"/>
    <w:rsid w:val="00D9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DFF01-D9B1-4D1C-B0D2-ED27C956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3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4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0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2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1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39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8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33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66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0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63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9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96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26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91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5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7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94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50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07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17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0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5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19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51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1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65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6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0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57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26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72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52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27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7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75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65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2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71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5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36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78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71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46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54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82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9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84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98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75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81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3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52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30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83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4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29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16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8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94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36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59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7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68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04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2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4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61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8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5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30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78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4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4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1443/r/2017/14" TargetMode="External"/><Relationship Id="rId13" Type="http://schemas.openxmlformats.org/officeDocument/2006/relationships/hyperlink" Target="https://or.njt.hu/eli/v01/731443/r/2017/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r.njt.hu/eli/v01/731443/r/2017/14" TargetMode="External"/><Relationship Id="rId12" Type="http://schemas.openxmlformats.org/officeDocument/2006/relationships/hyperlink" Target="https://or.njt.hu/eli/v01/731443/r/2017/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2011-4301-02-00" TargetMode="External"/><Relationship Id="rId11" Type="http://schemas.openxmlformats.org/officeDocument/2006/relationships/hyperlink" Target="https://or.njt.hu/eli/v01/731443/r/2017/14" TargetMode="External"/><Relationship Id="rId5" Type="http://schemas.openxmlformats.org/officeDocument/2006/relationships/hyperlink" Target="https://njt.hu/jogszabaly/1990-100-00-0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r.njt.hu/eli/v01/731443/r/2017/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jt.hu/jogszabaly/1990-100-00-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1257</Words>
  <Characters>8677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2022-09-22T11:51:00Z</dcterms:created>
  <dcterms:modified xsi:type="dcterms:W3CDTF">2022-09-22T11:56:00Z</dcterms:modified>
</cp:coreProperties>
</file>