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35542" w14:textId="77777777" w:rsidR="00FB548F" w:rsidRPr="00181B0C" w:rsidRDefault="00FB548F" w:rsidP="00FB548F">
      <w:pPr>
        <w:jc w:val="center"/>
        <w:rPr>
          <w:rFonts w:ascii="Century Gothic" w:hAnsi="Century Gothic"/>
          <w:sz w:val="36"/>
          <w:szCs w:val="36"/>
        </w:rPr>
      </w:pPr>
      <w:r w:rsidRPr="00181B0C">
        <w:rPr>
          <w:rFonts w:ascii="Century Gothic" w:hAnsi="Century Gothic"/>
          <w:sz w:val="36"/>
          <w:szCs w:val="36"/>
        </w:rPr>
        <w:t>ELŐTERJESZTÉS</w:t>
      </w:r>
    </w:p>
    <w:p w14:paraId="1C5A6E57" w14:textId="77777777" w:rsidR="00FB548F" w:rsidRPr="003C4537" w:rsidRDefault="00FB548F" w:rsidP="00FB548F">
      <w:pPr>
        <w:jc w:val="center"/>
        <w:rPr>
          <w:rFonts w:ascii="Cambria" w:hAnsi="Cambria"/>
          <w:b/>
          <w:szCs w:val="24"/>
        </w:rPr>
      </w:pPr>
    </w:p>
    <w:p w14:paraId="5447BD45" w14:textId="77777777" w:rsidR="00FB548F" w:rsidRPr="003C4537" w:rsidRDefault="00FB548F" w:rsidP="00FB548F">
      <w:pPr>
        <w:jc w:val="center"/>
        <w:rPr>
          <w:rFonts w:ascii="Cambria" w:hAnsi="Cambria"/>
          <w:b/>
          <w:szCs w:val="24"/>
        </w:rPr>
      </w:pPr>
    </w:p>
    <w:p w14:paraId="5F34ECB6" w14:textId="77777777" w:rsidR="00FB548F" w:rsidRPr="003C4537" w:rsidRDefault="00FB548F" w:rsidP="00FB548F">
      <w:pPr>
        <w:jc w:val="center"/>
        <w:rPr>
          <w:rFonts w:ascii="Cambria" w:hAnsi="Cambria"/>
          <w:b/>
          <w:szCs w:val="24"/>
        </w:rPr>
      </w:pPr>
      <w:r w:rsidRPr="003D4DA2">
        <w:rPr>
          <w:rFonts w:ascii="Cambria" w:hAnsi="Cambria"/>
          <w:noProof/>
          <w:lang w:eastAsia="hu-HU"/>
        </w:rPr>
        <w:drawing>
          <wp:inline distT="0" distB="0" distL="0" distR="0" wp14:anchorId="6047DA01" wp14:editId="3F83362D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9EA7F" w14:textId="77777777" w:rsidR="00FB548F" w:rsidRPr="003C4537" w:rsidRDefault="00FB548F" w:rsidP="00FB548F">
      <w:pPr>
        <w:jc w:val="center"/>
        <w:rPr>
          <w:rFonts w:ascii="Cambria" w:hAnsi="Cambria"/>
          <w:b/>
          <w:szCs w:val="24"/>
        </w:rPr>
      </w:pPr>
    </w:p>
    <w:p w14:paraId="5655BE96" w14:textId="77777777" w:rsidR="00FB548F" w:rsidRPr="003C4537" w:rsidRDefault="00FB548F" w:rsidP="00FB548F">
      <w:pPr>
        <w:jc w:val="center"/>
        <w:rPr>
          <w:rFonts w:ascii="Cambria" w:hAnsi="Cambria"/>
          <w:b/>
          <w:szCs w:val="24"/>
        </w:rPr>
      </w:pPr>
    </w:p>
    <w:p w14:paraId="327D6007" w14:textId="77777777" w:rsidR="00FB548F" w:rsidRPr="00FA1987" w:rsidRDefault="00FB548F" w:rsidP="00FB548F">
      <w:pPr>
        <w:spacing w:after="0"/>
        <w:jc w:val="center"/>
        <w:rPr>
          <w:rFonts w:ascii="Century Gothic" w:hAnsi="Century Gothic"/>
          <w:b/>
          <w:sz w:val="36"/>
          <w:szCs w:val="36"/>
        </w:rPr>
      </w:pPr>
      <w:r w:rsidRPr="00FA1987">
        <w:rPr>
          <w:rFonts w:ascii="Century Gothic" w:hAnsi="Century Gothic"/>
          <w:b/>
          <w:sz w:val="36"/>
          <w:szCs w:val="36"/>
        </w:rPr>
        <w:t>BALATONBERÉNY KÖZSÉG</w:t>
      </w:r>
    </w:p>
    <w:p w14:paraId="0ED9B6BA" w14:textId="77777777" w:rsidR="00FB548F" w:rsidRPr="00FA1987" w:rsidRDefault="00FB548F" w:rsidP="00FB548F">
      <w:pPr>
        <w:spacing w:after="0"/>
        <w:jc w:val="center"/>
        <w:rPr>
          <w:rFonts w:ascii="Century Gothic" w:hAnsi="Century Gothic"/>
          <w:b/>
          <w:sz w:val="36"/>
          <w:szCs w:val="36"/>
        </w:rPr>
      </w:pPr>
      <w:r w:rsidRPr="00FA1987">
        <w:rPr>
          <w:rFonts w:ascii="Century Gothic" w:hAnsi="Century Gothic"/>
          <w:b/>
          <w:sz w:val="36"/>
          <w:szCs w:val="36"/>
        </w:rPr>
        <w:t>ÖNKORMÁNYZAT</w:t>
      </w:r>
    </w:p>
    <w:p w14:paraId="5143AA4D" w14:textId="77777777" w:rsidR="00FB548F" w:rsidRPr="00FA1987" w:rsidRDefault="00FB548F" w:rsidP="00FB548F">
      <w:pPr>
        <w:keepNext/>
        <w:keepLines/>
        <w:spacing w:after="0"/>
        <w:jc w:val="center"/>
        <w:outlineLvl w:val="1"/>
        <w:rPr>
          <w:rFonts w:ascii="Century Gothic" w:eastAsia="Times New Roman" w:hAnsi="Century Gothic"/>
          <w:b/>
          <w:bCs/>
          <w:sz w:val="36"/>
          <w:szCs w:val="36"/>
          <w:lang w:eastAsia="hu-HU"/>
        </w:rPr>
      </w:pPr>
      <w:r w:rsidRPr="00FA1987">
        <w:rPr>
          <w:rFonts w:ascii="Century Gothic" w:eastAsia="Times New Roman" w:hAnsi="Century Gothic"/>
          <w:b/>
          <w:bCs/>
          <w:sz w:val="36"/>
          <w:szCs w:val="36"/>
          <w:lang w:eastAsia="hu-HU"/>
        </w:rPr>
        <w:t>KÉPVISELŐ-TESTÜLETÉNEK</w:t>
      </w:r>
    </w:p>
    <w:p w14:paraId="2BE936AC" w14:textId="77777777" w:rsidR="00FB548F" w:rsidRPr="00FA1987" w:rsidRDefault="00FB548F" w:rsidP="00FB548F">
      <w:pPr>
        <w:keepNext/>
        <w:keepLines/>
        <w:outlineLvl w:val="6"/>
        <w:rPr>
          <w:rFonts w:ascii="Century Gothic" w:eastAsia="Times New Roman" w:hAnsi="Century Gothic"/>
          <w:b/>
          <w:i/>
          <w:iCs/>
          <w:sz w:val="36"/>
          <w:szCs w:val="36"/>
          <w:lang w:eastAsia="hu-HU"/>
        </w:rPr>
      </w:pPr>
    </w:p>
    <w:p w14:paraId="2CE33123" w14:textId="77777777" w:rsidR="00FB548F" w:rsidRPr="00FA1987" w:rsidRDefault="00FB548F" w:rsidP="00FB548F">
      <w:pPr>
        <w:rPr>
          <w:rFonts w:ascii="Century Gothic" w:hAnsi="Century Gothic"/>
          <w:sz w:val="36"/>
          <w:szCs w:val="36"/>
        </w:rPr>
      </w:pPr>
    </w:p>
    <w:p w14:paraId="22E0DE96" w14:textId="77777777" w:rsidR="00FB548F" w:rsidRDefault="00FB548F" w:rsidP="00FB548F">
      <w:pPr>
        <w:spacing w:after="0"/>
        <w:jc w:val="center"/>
        <w:rPr>
          <w:rFonts w:ascii="Century Gothic" w:eastAsia="Times New Roman" w:hAnsi="Century Gothic"/>
          <w:b/>
          <w:caps/>
          <w:sz w:val="36"/>
          <w:szCs w:val="36"/>
          <w:lang w:eastAsia="hu-HU"/>
        </w:rPr>
      </w:pPr>
      <w:r w:rsidRPr="00FA1987">
        <w:rPr>
          <w:rFonts w:ascii="Century Gothic" w:eastAsia="Times New Roman" w:hAnsi="Century Gothic"/>
          <w:b/>
          <w:caps/>
          <w:sz w:val="36"/>
          <w:szCs w:val="36"/>
          <w:lang w:eastAsia="hu-HU"/>
        </w:rPr>
        <w:t xml:space="preserve">2022. </w:t>
      </w:r>
      <w:r>
        <w:rPr>
          <w:rFonts w:ascii="Century Gothic" w:eastAsia="Times New Roman" w:hAnsi="Century Gothic"/>
          <w:b/>
          <w:caps/>
          <w:sz w:val="36"/>
          <w:szCs w:val="36"/>
          <w:lang w:eastAsia="hu-HU"/>
        </w:rPr>
        <w:t>október 25-</w:t>
      </w:r>
      <w:r w:rsidRPr="00FA1987">
        <w:rPr>
          <w:rFonts w:ascii="Century Gothic" w:eastAsia="Times New Roman" w:hAnsi="Century Gothic"/>
          <w:b/>
          <w:caps/>
          <w:sz w:val="36"/>
          <w:szCs w:val="36"/>
          <w:lang w:eastAsia="hu-HU"/>
        </w:rPr>
        <w:t xml:space="preserve">i </w:t>
      </w:r>
    </w:p>
    <w:p w14:paraId="27C7F649" w14:textId="77777777" w:rsidR="00FB548F" w:rsidRPr="00FA1987" w:rsidRDefault="00FB548F" w:rsidP="00FB548F">
      <w:pPr>
        <w:spacing w:after="0"/>
        <w:jc w:val="center"/>
        <w:rPr>
          <w:rFonts w:ascii="Century Gothic" w:eastAsia="Times New Roman" w:hAnsi="Century Gothic"/>
          <w:b/>
          <w:sz w:val="36"/>
          <w:szCs w:val="36"/>
          <w:lang w:eastAsia="hu-HU"/>
        </w:rPr>
      </w:pPr>
      <w:r w:rsidRPr="00FA1987">
        <w:rPr>
          <w:rFonts w:ascii="Century Gothic" w:eastAsia="Times New Roman" w:hAnsi="Century Gothic"/>
          <w:b/>
          <w:sz w:val="36"/>
          <w:szCs w:val="36"/>
          <w:lang w:eastAsia="hu-HU"/>
        </w:rPr>
        <w:t>NYILVÁNOS ÜLÉSÉRE</w:t>
      </w:r>
    </w:p>
    <w:p w14:paraId="3D402789" w14:textId="77777777" w:rsidR="00FB548F" w:rsidRPr="00FA1987" w:rsidRDefault="00FB548F" w:rsidP="00FB548F">
      <w:pPr>
        <w:rPr>
          <w:rFonts w:ascii="Century Gothic" w:hAnsi="Century Gothic"/>
          <w:sz w:val="36"/>
          <w:szCs w:val="36"/>
        </w:rPr>
      </w:pPr>
    </w:p>
    <w:p w14:paraId="61398484" w14:textId="77777777" w:rsidR="00FB548F" w:rsidRPr="00FA1987" w:rsidRDefault="00FB548F" w:rsidP="00FB548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FA1987"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196E6B1" w14:textId="7CD54D70" w:rsidR="00FB548F" w:rsidRPr="00FB548F" w:rsidRDefault="00FB548F" w:rsidP="00FB548F">
      <w:pPr>
        <w:pStyle w:val="Szvegtrzs"/>
        <w:spacing w:before="240" w:after="480" w:line="240" w:lineRule="auto"/>
        <w:jc w:val="center"/>
        <w:rPr>
          <w:rFonts w:ascii="Century Gothic" w:hAnsi="Century Gothic"/>
          <w:b/>
          <w:bCs/>
          <w:sz w:val="36"/>
          <w:szCs w:val="36"/>
        </w:rPr>
      </w:pPr>
      <w:r w:rsidRPr="00FB548F">
        <w:rPr>
          <w:rFonts w:ascii="Century Gothic" w:hAnsi="Century Gothic"/>
          <w:b/>
          <w:bCs/>
          <w:sz w:val="36"/>
          <w:szCs w:val="36"/>
        </w:rPr>
        <w:t>A</w:t>
      </w:r>
      <w:r w:rsidRPr="00FB548F">
        <w:rPr>
          <w:rFonts w:ascii="Century Gothic" w:hAnsi="Century Gothic"/>
          <w:b/>
          <w:bCs/>
          <w:sz w:val="36"/>
          <w:szCs w:val="36"/>
        </w:rPr>
        <w:t>z időskorú lakosok egyszeri önkormányzati támogatásáról</w:t>
      </w:r>
      <w:r w:rsidRPr="00FB548F">
        <w:rPr>
          <w:rFonts w:ascii="Century Gothic" w:hAnsi="Century Gothic"/>
          <w:b/>
          <w:bCs/>
          <w:sz w:val="36"/>
          <w:szCs w:val="36"/>
        </w:rPr>
        <w:t xml:space="preserve"> szóló önkormányzati rendelet elfogadása</w:t>
      </w:r>
    </w:p>
    <w:p w14:paraId="1782732B" w14:textId="77777777" w:rsidR="00FB548F" w:rsidRPr="00FA1987" w:rsidRDefault="00FB548F" w:rsidP="00FB548F">
      <w:pPr>
        <w:rPr>
          <w:rFonts w:ascii="Century Gothic" w:hAnsi="Century Gothic"/>
          <w:b/>
          <w:caps/>
          <w:sz w:val="36"/>
          <w:szCs w:val="36"/>
        </w:rPr>
      </w:pPr>
    </w:p>
    <w:p w14:paraId="028904D4" w14:textId="77777777" w:rsidR="00FB548F" w:rsidRPr="00FA1987" w:rsidRDefault="00FB548F" w:rsidP="00FB548F">
      <w:pPr>
        <w:jc w:val="center"/>
        <w:rPr>
          <w:rFonts w:ascii="Century Gothic" w:hAnsi="Century Gothic"/>
          <w:b/>
          <w:caps/>
          <w:sz w:val="36"/>
          <w:szCs w:val="36"/>
        </w:rPr>
      </w:pPr>
      <w:r w:rsidRPr="00FA1987">
        <w:rPr>
          <w:rFonts w:ascii="Century Gothic" w:hAnsi="Century Gothic"/>
          <w:b/>
          <w:caps/>
          <w:sz w:val="36"/>
          <w:szCs w:val="36"/>
        </w:rPr>
        <w:t>ELŐADÓ:</w:t>
      </w:r>
    </w:p>
    <w:p w14:paraId="5D8AE213" w14:textId="77777777" w:rsidR="00FB548F" w:rsidRPr="00FA1987" w:rsidRDefault="00FB548F" w:rsidP="00FB548F">
      <w:pPr>
        <w:spacing w:after="0"/>
        <w:jc w:val="center"/>
        <w:rPr>
          <w:rFonts w:ascii="Century Gothic" w:hAnsi="Century Gothic"/>
          <w:sz w:val="36"/>
          <w:szCs w:val="36"/>
        </w:rPr>
      </w:pPr>
      <w:r w:rsidRPr="00FA1987">
        <w:rPr>
          <w:rFonts w:ascii="Century Gothic" w:hAnsi="Century Gothic"/>
          <w:sz w:val="36"/>
          <w:szCs w:val="36"/>
        </w:rPr>
        <w:t>Mestyán Valéria</w:t>
      </w:r>
    </w:p>
    <w:p w14:paraId="340FE16D" w14:textId="77777777" w:rsidR="00FB548F" w:rsidRPr="00FA1987" w:rsidRDefault="00FB548F" w:rsidP="00FB548F">
      <w:pPr>
        <w:spacing w:after="0"/>
        <w:jc w:val="center"/>
        <w:rPr>
          <w:rFonts w:ascii="Century Gothic" w:hAnsi="Century Gothic"/>
          <w:sz w:val="36"/>
          <w:szCs w:val="36"/>
        </w:rPr>
      </w:pPr>
      <w:proofErr w:type="gramStart"/>
      <w:r w:rsidRPr="00FA1987">
        <w:rPr>
          <w:rFonts w:ascii="Century Gothic" w:hAnsi="Century Gothic"/>
          <w:sz w:val="36"/>
          <w:szCs w:val="36"/>
        </w:rPr>
        <w:t>címzetes</w:t>
      </w:r>
      <w:proofErr w:type="gramEnd"/>
      <w:r w:rsidRPr="00FA1987">
        <w:rPr>
          <w:rFonts w:ascii="Century Gothic" w:hAnsi="Century Gothic"/>
          <w:sz w:val="36"/>
          <w:szCs w:val="36"/>
        </w:rPr>
        <w:t xml:space="preserve"> főjegyző</w:t>
      </w:r>
    </w:p>
    <w:p w14:paraId="57E19D45" w14:textId="42748E61" w:rsidR="0024536E" w:rsidRDefault="0024536E" w:rsidP="0024536E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0C86F46F" w14:textId="77777777" w:rsidR="00FB548F" w:rsidRDefault="00FB548F" w:rsidP="0024536E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1E0AD2D2" w14:textId="1BD13C87" w:rsidR="0024536E" w:rsidRDefault="0024536E" w:rsidP="0024536E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>T</w:t>
      </w:r>
      <w:r w:rsidRPr="007212E6">
        <w:rPr>
          <w:rFonts w:ascii="Century Gothic" w:eastAsia="Times New Roman" w:hAnsi="Century Gothic" w:cs="Times New Roman"/>
          <w:lang w:eastAsia="hu-HU"/>
        </w:rPr>
        <w:t>isztelt Képviselő-testület!</w:t>
      </w:r>
    </w:p>
    <w:p w14:paraId="450BCAC7" w14:textId="706F15EC" w:rsidR="0024536E" w:rsidRDefault="0024536E" w:rsidP="0024536E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70A8F292" w14:textId="1C6EC45A" w:rsidR="0024536E" w:rsidRDefault="0024536E" w:rsidP="0024536E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606F672B" w14:textId="4316EDFF" w:rsidR="0024536E" w:rsidRDefault="00657131" w:rsidP="0024536E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>A közelmúlt gyakorlati tapasztalatai alapján</w:t>
      </w:r>
      <w:r w:rsidR="00E879B0">
        <w:rPr>
          <w:rFonts w:ascii="Century Gothic" w:eastAsia="Times New Roman" w:hAnsi="Century Gothic" w:cs="Times New Roman"/>
          <w:lang w:eastAsia="hu-HU"/>
        </w:rPr>
        <w:t xml:space="preserve"> és a rendeletből kikerült támogatási formák hiányára tekintettel</w:t>
      </w:r>
      <w:r>
        <w:rPr>
          <w:rFonts w:ascii="Century Gothic" w:eastAsia="Times New Roman" w:hAnsi="Century Gothic" w:cs="Times New Roman"/>
          <w:lang w:eastAsia="hu-HU"/>
        </w:rPr>
        <w:t xml:space="preserve"> sz</w:t>
      </w:r>
      <w:r w:rsidR="0024536E">
        <w:rPr>
          <w:rFonts w:ascii="Century Gothic" w:eastAsia="Times New Roman" w:hAnsi="Century Gothic" w:cs="Times New Roman"/>
          <w:lang w:eastAsia="hu-HU"/>
        </w:rPr>
        <w:t>ükségessé vált a jóléti célú lakossági támogatásokról szóló 11/2021. (X. 8.) önkormányzati rendelet</w:t>
      </w:r>
      <w:r>
        <w:rPr>
          <w:rFonts w:ascii="Century Gothic" w:eastAsia="Times New Roman" w:hAnsi="Century Gothic" w:cs="Times New Roman"/>
          <w:lang w:eastAsia="hu-HU"/>
        </w:rPr>
        <w:t xml:space="preserve"> hatályon kívül helyezése és új rendelet megalkotása.</w:t>
      </w:r>
    </w:p>
    <w:p w14:paraId="5B754A85" w14:textId="77777777" w:rsidR="00F417B1" w:rsidRDefault="0024536E" w:rsidP="0024536E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>A</w:t>
      </w:r>
      <w:r w:rsidR="00657131">
        <w:rPr>
          <w:rFonts w:ascii="Century Gothic" w:eastAsia="Times New Roman" w:hAnsi="Century Gothic" w:cs="Times New Roman"/>
          <w:lang w:eastAsia="hu-HU"/>
        </w:rPr>
        <w:t>z új rendelet megalkotásának egyik indoka az, hogy a korábban több fajta támogatást tartalmazó rendeletben jelenleg már csak az időskorúak egyszeri támogatása ellátás szerepel, így az elnevezése már</w:t>
      </w:r>
      <w:r w:rsidR="00F417B1">
        <w:rPr>
          <w:rFonts w:ascii="Century Gothic" w:eastAsia="Times New Roman" w:hAnsi="Century Gothic" w:cs="Times New Roman"/>
          <w:lang w:eastAsia="hu-HU"/>
        </w:rPr>
        <w:t>a</w:t>
      </w:r>
      <w:r w:rsidR="00657131">
        <w:rPr>
          <w:rFonts w:ascii="Century Gothic" w:eastAsia="Times New Roman" w:hAnsi="Century Gothic" w:cs="Times New Roman"/>
          <w:lang w:eastAsia="hu-HU"/>
        </w:rPr>
        <w:t xml:space="preserve"> </w:t>
      </w:r>
      <w:r w:rsidR="00F417B1">
        <w:rPr>
          <w:rFonts w:ascii="Century Gothic" w:eastAsia="Times New Roman" w:hAnsi="Century Gothic" w:cs="Times New Roman"/>
          <w:lang w:eastAsia="hu-HU"/>
        </w:rPr>
        <w:t>aktualitását vesztette.</w:t>
      </w:r>
    </w:p>
    <w:p w14:paraId="73F3AF6C" w14:textId="375C0011" w:rsidR="0024536E" w:rsidRDefault="00F417B1" w:rsidP="0024536E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>Az új rendelet megalkotásának másik oka az a szándék,</w:t>
      </w:r>
      <w:r w:rsidR="00657131">
        <w:rPr>
          <w:rFonts w:ascii="Century Gothic" w:eastAsia="Times New Roman" w:hAnsi="Century Gothic" w:cs="Times New Roman"/>
          <w:lang w:eastAsia="hu-HU"/>
        </w:rPr>
        <w:t xml:space="preserve"> hogy a támogatást csak azok a lakosok vehessék igénybe, akik ténylegesen – életvitelszerűen – Balatonberényben laknak</w:t>
      </w:r>
      <w:r>
        <w:rPr>
          <w:rFonts w:ascii="Century Gothic" w:eastAsia="Times New Roman" w:hAnsi="Century Gothic" w:cs="Times New Roman"/>
          <w:lang w:eastAsia="hu-HU"/>
        </w:rPr>
        <w:t xml:space="preserve">, így </w:t>
      </w:r>
      <w:r w:rsidR="00E879B0">
        <w:rPr>
          <w:rFonts w:ascii="Century Gothic" w:eastAsia="Times New Roman" w:hAnsi="Century Gothic" w:cs="Times New Roman"/>
          <w:lang w:eastAsia="hu-HU"/>
        </w:rPr>
        <w:t>az új rendelet alkalmazása során szűkülne</w:t>
      </w:r>
      <w:r>
        <w:rPr>
          <w:rFonts w:ascii="Century Gothic" w:eastAsia="Times New Roman" w:hAnsi="Century Gothic" w:cs="Times New Roman"/>
          <w:lang w:eastAsia="hu-HU"/>
        </w:rPr>
        <w:t xml:space="preserve"> a jogosulti kör.</w:t>
      </w:r>
    </w:p>
    <w:p w14:paraId="5F7B4B57" w14:textId="1806272B" w:rsidR="003E3FA1" w:rsidRDefault="003E3FA1" w:rsidP="0024536E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3F1958F0" w14:textId="212C890F" w:rsidR="003E3FA1" w:rsidRDefault="003E3FA1" w:rsidP="003E3FA1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>Tervezet</w:t>
      </w:r>
    </w:p>
    <w:p w14:paraId="0BD7CDEE" w14:textId="77777777" w:rsidR="003E3FA1" w:rsidRDefault="003E3FA1" w:rsidP="003E3FA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14:paraId="7103E4B9" w14:textId="77777777" w:rsidR="003E3FA1" w:rsidRDefault="003E3FA1" w:rsidP="003E3FA1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időskorú lakosok egyszeri önkormányzati támogatásáról</w:t>
      </w:r>
    </w:p>
    <w:p w14:paraId="3D6A6F10" w14:textId="77777777" w:rsidR="003E3FA1" w:rsidRDefault="003E3FA1" w:rsidP="003E3FA1">
      <w:pPr>
        <w:pStyle w:val="Szvegtrzs"/>
        <w:spacing w:before="220" w:after="0" w:line="240" w:lineRule="auto"/>
        <w:jc w:val="both"/>
      </w:pPr>
      <w:r>
        <w:t>Balatonberény Község Önkormányzat Képviselő-testülete az Alaptörvény 32. cikk (2) bekezdése alapján, eredeti jogalkotói hatáskörében, a Magyarország helyi önkormányzatairól szóló 2011. évi CLXXXIX. törvény 10. § (2) bekezdésében meghatározott feladatkörében eljárva a következőket rendeli el.</w:t>
      </w:r>
    </w:p>
    <w:p w14:paraId="37339B58" w14:textId="77777777" w:rsidR="003E3FA1" w:rsidRDefault="003E3FA1" w:rsidP="003E3FA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1DB5356" w14:textId="77777777" w:rsidR="003E3FA1" w:rsidRDefault="003E3FA1" w:rsidP="003E3FA1">
      <w:pPr>
        <w:pStyle w:val="Szvegtrzs"/>
        <w:spacing w:after="0" w:line="240" w:lineRule="auto"/>
        <w:jc w:val="both"/>
      </w:pPr>
      <w:r>
        <w:t xml:space="preserve">(1) A rendelet hatálya kiterjed a Balatonberényben állandó lakóhellyel rendelkező, </w:t>
      </w:r>
      <w:proofErr w:type="spellStart"/>
      <w:r>
        <w:t>életvitelszerűen</w:t>
      </w:r>
      <w:proofErr w:type="spellEnd"/>
      <w:r>
        <w:t xml:space="preserve"> a bejelentett állandó lakóhelyükön élő személyekre.</w:t>
      </w:r>
    </w:p>
    <w:p w14:paraId="6618F84F" w14:textId="77777777" w:rsidR="003E3FA1" w:rsidRDefault="003E3FA1" w:rsidP="003E3FA1">
      <w:pPr>
        <w:pStyle w:val="Szvegtrzs"/>
        <w:spacing w:before="240" w:after="0" w:line="240" w:lineRule="auto"/>
        <w:jc w:val="both"/>
      </w:pPr>
      <w:r>
        <w:t xml:space="preserve">(2) Életvitelszerű lakóhely: az az ingatlan, ahonnan a magánszemély az életét szervezi, ahol az életvitelhez szükséges tevékenységeket (étkezés, főzés, mosás) leginkább folytatja, amelyre vonatkozóan az év minden hónapjában közüzemi szolgáltatásokat vesz </w:t>
      </w:r>
      <w:proofErr w:type="gramStart"/>
      <w:r>
        <w:t>igénybe</w:t>
      </w:r>
      <w:proofErr w:type="gramEnd"/>
      <w:r>
        <w:t xml:space="preserve"> és amely ingatlan elsődleges levelezési címként jelenik meg a hatóságoknál, közműszolgáltatóknál.</w:t>
      </w:r>
    </w:p>
    <w:p w14:paraId="66FAE861" w14:textId="77777777" w:rsidR="003E3FA1" w:rsidRDefault="003E3FA1" w:rsidP="003E3FA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2B1D0D7" w14:textId="77777777" w:rsidR="003E3FA1" w:rsidRDefault="003E3FA1" w:rsidP="003E3FA1">
      <w:pPr>
        <w:pStyle w:val="Szvegtrzs"/>
        <w:spacing w:after="0" w:line="240" w:lineRule="auto"/>
        <w:jc w:val="both"/>
      </w:pPr>
      <w:r>
        <w:t>A képviselő-testület az e rendelet szerinti támogatással kapcsolatos hatáskört a polgármesterre ruházza át.</w:t>
      </w:r>
    </w:p>
    <w:p w14:paraId="3AA5AEC2" w14:textId="77777777" w:rsidR="003E3FA1" w:rsidRDefault="003E3FA1" w:rsidP="003E3FA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12E1C7A" w14:textId="77777777" w:rsidR="003E3FA1" w:rsidRDefault="003E3FA1" w:rsidP="003E3FA1">
      <w:pPr>
        <w:pStyle w:val="Szvegtrzs"/>
        <w:spacing w:after="0" w:line="240" w:lineRule="auto"/>
        <w:jc w:val="both"/>
      </w:pPr>
      <w:r>
        <w:t xml:space="preserve">(1) A képviselő-testület a Balatonberény községben állandó lakóhellyel rendelkező és </w:t>
      </w:r>
      <w:proofErr w:type="spellStart"/>
      <w:r>
        <w:t>életvitelszerűen</w:t>
      </w:r>
      <w:proofErr w:type="spellEnd"/>
      <w:r>
        <w:t xml:space="preserve"> a bejelentett állandó lakóhelyükön élő – a tárgyév december 31. napjáig 65. életévüket betöltő, és 65 évesnél idősebb személyeket évente egy alkalommal pénzbeli vagy természetbeni támogatásban részesíti. A természetbeni támogatás formája vásárlási utalvány.</w:t>
      </w:r>
    </w:p>
    <w:p w14:paraId="6107192F" w14:textId="77777777" w:rsidR="003E3FA1" w:rsidRDefault="003E3FA1" w:rsidP="003E3FA1">
      <w:pPr>
        <w:pStyle w:val="Szvegtrzs"/>
        <w:spacing w:before="240" w:after="0" w:line="240" w:lineRule="auto"/>
        <w:jc w:val="both"/>
      </w:pPr>
      <w:r>
        <w:lastRenderedPageBreak/>
        <w:t>(2) A támogatásra jogosult személyekről szóló kimutatást a tárgyév szeptember hónapjában a Balatonkeresztúri Közös Önkormányzati Hivatal népesség-nyilvántartója készíti el a népesség-nyilvántartó rendszerből történő lekérdezés útján.</w:t>
      </w:r>
    </w:p>
    <w:p w14:paraId="685E0800" w14:textId="77777777" w:rsidR="003E3FA1" w:rsidRDefault="003E3FA1" w:rsidP="003E3FA1">
      <w:pPr>
        <w:pStyle w:val="Szvegtrzs"/>
        <w:spacing w:before="240" w:after="0" w:line="240" w:lineRule="auto"/>
        <w:jc w:val="both"/>
      </w:pPr>
      <w:r>
        <w:t>(3) Az adott évi támogatás formájáról és összegéről a képviselő-testület adott év október hónapban dönt.</w:t>
      </w:r>
    </w:p>
    <w:p w14:paraId="7A65CAD4" w14:textId="77777777" w:rsidR="003E3FA1" w:rsidRDefault="003E3FA1" w:rsidP="003E3FA1">
      <w:pPr>
        <w:pStyle w:val="Szvegtrzs"/>
        <w:spacing w:before="240" w:after="0" w:line="240" w:lineRule="auto"/>
        <w:jc w:val="both"/>
      </w:pPr>
      <w:r>
        <w:t>(4) A polgármester legkésőbb az adott év november 15. napjáig írásban értesíti a támogatásra jogosult személyeket a támogatás formájáról és összegéről, a támogatás átvételének helyéről, időpontjáról és a támogatás átvételének végső időpontjáról.</w:t>
      </w:r>
    </w:p>
    <w:p w14:paraId="2E231742" w14:textId="77777777" w:rsidR="003E3FA1" w:rsidRDefault="003E3FA1" w:rsidP="003E3FA1">
      <w:pPr>
        <w:pStyle w:val="Szvegtrzs"/>
        <w:spacing w:before="240" w:after="0" w:line="240" w:lineRule="auto"/>
        <w:jc w:val="both"/>
      </w:pPr>
      <w:r>
        <w:t>(5) A pénzbeli támogatás legkésőbb a tárgyév december 15. napjáig kerül kifizetésre az önkormányzat házipénztárából, a jogosult személy vagy meghatalmazottja részére. A vásárlási utalvány tárgyév december 15. napjáig vehető át. A határidők elmulasztása jogvesztő.</w:t>
      </w:r>
    </w:p>
    <w:p w14:paraId="13401CB7" w14:textId="77777777" w:rsidR="003E3FA1" w:rsidRDefault="003E3FA1" w:rsidP="003E3FA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D9A54E0" w14:textId="77777777" w:rsidR="003E3FA1" w:rsidRDefault="003E3FA1" w:rsidP="003E3FA1">
      <w:pPr>
        <w:pStyle w:val="Szvegtrzs"/>
        <w:spacing w:after="0" w:line="240" w:lineRule="auto"/>
        <w:jc w:val="both"/>
      </w:pPr>
      <w:r>
        <w:t>Hatályát veszti a jóléti célú lakossági támogatásokról szóló 11/2021. (X. 8.) önkormányzati rendelet.</w:t>
      </w:r>
    </w:p>
    <w:p w14:paraId="44B6D849" w14:textId="77777777" w:rsidR="003E3FA1" w:rsidRDefault="003E3FA1" w:rsidP="003E3FA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35944A3A" w14:textId="77777777" w:rsidR="003E3FA1" w:rsidRDefault="003E3FA1" w:rsidP="003E3FA1">
      <w:pPr>
        <w:pStyle w:val="Szvegtrzs"/>
        <w:spacing w:after="0" w:line="240" w:lineRule="auto"/>
        <w:jc w:val="both"/>
      </w:pPr>
      <w:r>
        <w:t>Ez a rendelet a kihirdetését követő harmadik napon lép hatályba.</w:t>
      </w:r>
    </w:p>
    <w:p w14:paraId="14F06784" w14:textId="77777777" w:rsidR="003E3FA1" w:rsidRDefault="003E3FA1" w:rsidP="003E3FA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5C001A0" w14:textId="0F3B30BF" w:rsidR="003E3FA1" w:rsidRDefault="003E3FA1" w:rsidP="003E3FA1">
      <w:pPr>
        <w:pStyle w:val="Szvegtrzs"/>
        <w:spacing w:after="0" w:line="240" w:lineRule="auto"/>
        <w:jc w:val="both"/>
      </w:pPr>
      <w:r>
        <w:t>Ez a rendelet a Magyar Köztársaságnak az Európai Unióhoz történő csatlakozásáról szóló szerződés kihirdetéséről szóló 2004. évi XXX. törvénnyel összhangban az Európai Közösségek jogszabályaival összeegyeztethető szabályozást tartalmaz.</w:t>
      </w:r>
    </w:p>
    <w:p w14:paraId="6CC9C0D6" w14:textId="0B5C817C" w:rsidR="003E3FA1" w:rsidRDefault="003E3FA1" w:rsidP="003E3FA1">
      <w:pPr>
        <w:pStyle w:val="Szvegtrzs"/>
        <w:spacing w:after="0" w:line="240" w:lineRule="auto"/>
        <w:jc w:val="both"/>
      </w:pPr>
    </w:p>
    <w:p w14:paraId="76E02392" w14:textId="66CAA1D2" w:rsidR="003E3FA1" w:rsidRDefault="003E3FA1" w:rsidP="003E3FA1">
      <w:pPr>
        <w:pStyle w:val="Szvegtrzs"/>
        <w:spacing w:after="0" w:line="240" w:lineRule="auto"/>
        <w:jc w:val="both"/>
      </w:pPr>
    </w:p>
    <w:p w14:paraId="0642BBB6" w14:textId="77777777" w:rsidR="003E3FA1" w:rsidRPr="003E3FA1" w:rsidRDefault="003E3FA1" w:rsidP="003E3FA1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  <w:proofErr w:type="spellStart"/>
      <w:r w:rsidRPr="003E3FA1">
        <w:rPr>
          <w:sz w:val="22"/>
          <w:szCs w:val="22"/>
        </w:rPr>
        <w:t>Druskoczi</w:t>
      </w:r>
      <w:proofErr w:type="spellEnd"/>
      <w:r w:rsidRPr="003E3FA1">
        <w:rPr>
          <w:sz w:val="22"/>
          <w:szCs w:val="22"/>
        </w:rPr>
        <w:t xml:space="preserve"> </w:t>
      </w:r>
      <w:proofErr w:type="gramStart"/>
      <w:r w:rsidRPr="003E3FA1">
        <w:rPr>
          <w:sz w:val="22"/>
          <w:szCs w:val="22"/>
        </w:rPr>
        <w:t>Tünde                                                          Mestyán</w:t>
      </w:r>
      <w:proofErr w:type="gramEnd"/>
      <w:r w:rsidRPr="003E3FA1">
        <w:rPr>
          <w:sz w:val="22"/>
          <w:szCs w:val="22"/>
        </w:rPr>
        <w:t xml:space="preserve"> Valéria</w:t>
      </w:r>
    </w:p>
    <w:p w14:paraId="4927F734" w14:textId="201CA3FA" w:rsidR="003E3FA1" w:rsidRPr="003E3FA1" w:rsidRDefault="003E3FA1" w:rsidP="003E3FA1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  <w:proofErr w:type="gramStart"/>
      <w:r w:rsidRPr="003E3FA1">
        <w:rPr>
          <w:sz w:val="22"/>
          <w:szCs w:val="22"/>
        </w:rPr>
        <w:t>polgármester</w:t>
      </w:r>
      <w:proofErr w:type="gramEnd"/>
      <w:r w:rsidRPr="003E3FA1">
        <w:rPr>
          <w:sz w:val="22"/>
          <w:szCs w:val="22"/>
        </w:rPr>
        <w:t xml:space="preserve">                                                            </w:t>
      </w:r>
      <w:r w:rsidR="00855B1A">
        <w:rPr>
          <w:sz w:val="22"/>
          <w:szCs w:val="22"/>
        </w:rPr>
        <w:t xml:space="preserve">  </w:t>
      </w:r>
      <w:r w:rsidRPr="003E3FA1">
        <w:rPr>
          <w:sz w:val="22"/>
          <w:szCs w:val="22"/>
        </w:rPr>
        <w:t xml:space="preserve"> címzetes főjegyző</w:t>
      </w:r>
    </w:p>
    <w:p w14:paraId="1D4367AD" w14:textId="77777777" w:rsidR="003E3FA1" w:rsidRPr="003E3FA1" w:rsidRDefault="003E3FA1" w:rsidP="003E3FA1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</w:p>
    <w:p w14:paraId="3DED0CE6" w14:textId="77777777" w:rsidR="003E3FA1" w:rsidRPr="003E3FA1" w:rsidRDefault="003E3FA1" w:rsidP="003E3FA1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</w:p>
    <w:p w14:paraId="4A149E1C" w14:textId="77777777" w:rsidR="003E3FA1" w:rsidRPr="003E3FA1" w:rsidRDefault="003E3FA1" w:rsidP="003E3FA1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</w:p>
    <w:p w14:paraId="140267C0" w14:textId="77777777" w:rsidR="003E3FA1" w:rsidRPr="003E3FA1" w:rsidRDefault="003E3FA1" w:rsidP="003E3FA1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  <w:r w:rsidRPr="003E3FA1">
        <w:rPr>
          <w:sz w:val="22"/>
          <w:szCs w:val="22"/>
        </w:rPr>
        <w:t>Kihirdetve: 2022. október</w:t>
      </w:r>
      <w:proofErr w:type="gramStart"/>
      <w:r w:rsidRPr="003E3FA1">
        <w:rPr>
          <w:sz w:val="22"/>
          <w:szCs w:val="22"/>
        </w:rPr>
        <w:t>…….</w:t>
      </w:r>
      <w:proofErr w:type="gramEnd"/>
    </w:p>
    <w:p w14:paraId="3B52E07B" w14:textId="77777777" w:rsidR="003E3FA1" w:rsidRPr="003E3FA1" w:rsidRDefault="003E3FA1" w:rsidP="003E3FA1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</w:p>
    <w:p w14:paraId="757A9D35" w14:textId="77777777" w:rsidR="003E3FA1" w:rsidRPr="003E3FA1" w:rsidRDefault="003E3FA1" w:rsidP="003E3FA1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</w:p>
    <w:p w14:paraId="7BEDE1E0" w14:textId="77777777" w:rsidR="003E3FA1" w:rsidRPr="003E3FA1" w:rsidRDefault="003E3FA1" w:rsidP="003E3FA1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  <w:r w:rsidRPr="003E3FA1">
        <w:rPr>
          <w:sz w:val="22"/>
          <w:szCs w:val="22"/>
        </w:rPr>
        <w:t>Mestyán Valéria</w:t>
      </w:r>
    </w:p>
    <w:p w14:paraId="06AEEDB4" w14:textId="1185E8B7" w:rsidR="003E3FA1" w:rsidRPr="00D7503E" w:rsidRDefault="00D7503E" w:rsidP="00D7503E">
      <w:pPr>
        <w:pStyle w:val="x2h-tartalom"/>
        <w:spacing w:before="0" w:beforeAutospacing="0" w:after="0" w:afterAutospacing="0"/>
        <w:jc w:val="both"/>
        <w:rPr>
          <w:sz w:val="22"/>
          <w:szCs w:val="22"/>
        </w:rPr>
        <w:sectPr w:rsidR="003E3FA1" w:rsidRPr="00D7503E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rPr>
          <w:sz w:val="22"/>
          <w:szCs w:val="22"/>
        </w:rPr>
        <w:t>címzetes főjegyz</w:t>
      </w:r>
      <w:r w:rsidR="00FB548F">
        <w:rPr>
          <w:sz w:val="22"/>
          <w:szCs w:val="22"/>
        </w:rPr>
        <w:t>ő</w:t>
      </w:r>
      <w:bookmarkStart w:id="0" w:name="_GoBack"/>
      <w:bookmarkEnd w:id="0"/>
    </w:p>
    <w:p w14:paraId="5689D58D" w14:textId="6EE89D81" w:rsidR="003E3FA1" w:rsidRDefault="003E3FA1" w:rsidP="00FB548F">
      <w:pPr>
        <w:pStyle w:val="Szvegtrzs"/>
        <w:spacing w:before="476" w:after="159" w:line="240" w:lineRule="auto"/>
        <w:ind w:right="159"/>
        <w:jc w:val="center"/>
      </w:pPr>
      <w:r>
        <w:lastRenderedPageBreak/>
        <w:t>Részletes indokolás</w:t>
      </w:r>
    </w:p>
    <w:p w14:paraId="00D2655B" w14:textId="77777777" w:rsidR="003E3FA1" w:rsidRDefault="003E3FA1" w:rsidP="003E3FA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Az 1. §-hoz </w:t>
      </w:r>
    </w:p>
    <w:p w14:paraId="22871373" w14:textId="77777777" w:rsidR="003E3FA1" w:rsidRDefault="003E3FA1" w:rsidP="003E3FA1">
      <w:pPr>
        <w:pStyle w:val="Szvegtrzs"/>
        <w:spacing w:after="160" w:line="240" w:lineRule="auto"/>
        <w:jc w:val="both"/>
      </w:pPr>
      <w:r>
        <w:t xml:space="preserve">A rendelet hatálya alá tartozó személyek körének meghatározását tartalmazza. A rendelet hatálya a Balatonberény községben állandó lakóhellyel rendelkező és </w:t>
      </w:r>
      <w:proofErr w:type="spellStart"/>
      <w:r>
        <w:t>életvitelszerűen</w:t>
      </w:r>
      <w:proofErr w:type="spellEnd"/>
      <w:r>
        <w:t xml:space="preserve"> a bejelentett állandó lakcímükön élő személyekre terjed ki. Meghatározza az életvitelszerűség, az életvitelszerű lakóhely fogalmát is.</w:t>
      </w:r>
    </w:p>
    <w:p w14:paraId="3301EFE1" w14:textId="77777777" w:rsidR="003E3FA1" w:rsidRDefault="003E3FA1" w:rsidP="003E3FA1">
      <w:pPr>
        <w:pStyle w:val="Szvegtrzs"/>
        <w:spacing w:after="160" w:line="240" w:lineRule="auto"/>
        <w:jc w:val="both"/>
      </w:pPr>
      <w:r>
        <w:t> </w:t>
      </w:r>
    </w:p>
    <w:p w14:paraId="6C5C6C8E" w14:textId="77777777" w:rsidR="003E3FA1" w:rsidRDefault="003E3FA1" w:rsidP="003E3FA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A 2. §-hoz </w:t>
      </w:r>
    </w:p>
    <w:p w14:paraId="30BD75AA" w14:textId="77777777" w:rsidR="003E3FA1" w:rsidRDefault="003E3FA1" w:rsidP="003E3FA1">
      <w:pPr>
        <w:pStyle w:val="Szvegtrzs"/>
        <w:spacing w:after="160" w:line="240" w:lineRule="auto"/>
        <w:jc w:val="both"/>
      </w:pPr>
      <w:r>
        <w:t>A képviselő-testület hatáskörének polgármesterre történő átruházásáról rendelkezik.</w:t>
      </w:r>
    </w:p>
    <w:p w14:paraId="6F57D68B" w14:textId="77777777" w:rsidR="003E3FA1" w:rsidRDefault="003E3FA1" w:rsidP="003E3FA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A 3. §-hoz </w:t>
      </w:r>
    </w:p>
    <w:p w14:paraId="17CE7FE5" w14:textId="77777777" w:rsidR="003E3FA1" w:rsidRDefault="003E3FA1" w:rsidP="003E3FA1">
      <w:pPr>
        <w:pStyle w:val="Szvegtrzs"/>
        <w:spacing w:after="160" w:line="240" w:lineRule="auto"/>
        <w:jc w:val="both"/>
      </w:pPr>
      <w:r>
        <w:t>A támogatás megállapításának részletes szabályairól szóló rendelkezéseket tartalmazza.</w:t>
      </w:r>
    </w:p>
    <w:p w14:paraId="680D2F28" w14:textId="77777777" w:rsidR="003E3FA1" w:rsidRDefault="003E3FA1" w:rsidP="003E3FA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A 4–6. §-hoz </w:t>
      </w:r>
    </w:p>
    <w:p w14:paraId="168D7CAC" w14:textId="6AC04BF8" w:rsidR="00657131" w:rsidRPr="00D7503E" w:rsidRDefault="003E3FA1" w:rsidP="00D7503E">
      <w:pPr>
        <w:pStyle w:val="Szvegtrzs"/>
        <w:spacing w:before="159" w:after="159" w:line="240" w:lineRule="auto"/>
        <w:ind w:left="159" w:right="159"/>
        <w:jc w:val="both"/>
      </w:pPr>
      <w:r>
        <w:t>Záró és hatálybaléptető rendelkezéseket tartalmaz.</w:t>
      </w:r>
    </w:p>
    <w:p w14:paraId="08411D34" w14:textId="77777777" w:rsidR="00657131" w:rsidRPr="00657131" w:rsidRDefault="00657131" w:rsidP="00657131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740B91D1" w14:textId="24975F9A" w:rsidR="00D7503E" w:rsidRPr="00D7503E" w:rsidRDefault="00D7503E" w:rsidP="00D7503E">
      <w:pPr>
        <w:ind w:left="-567" w:right="-457"/>
        <w:jc w:val="center"/>
        <w:rPr>
          <w:rFonts w:ascii="Cambria" w:hAnsi="Cambria"/>
          <w:b/>
        </w:rPr>
      </w:pPr>
      <w:r w:rsidRPr="00B01FCA">
        <w:rPr>
          <w:rFonts w:ascii="Cambria" w:hAnsi="Cambria"/>
          <w:b/>
        </w:rPr>
        <w:t>TÁJÉKOZTATÓ AZ ELŐZETES HATÁSVIZSGÁLAT EREDMÉNYÉRŐL</w:t>
      </w: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D7503E" w:rsidRPr="00DB298A" w14:paraId="0551130A" w14:textId="77777777" w:rsidTr="00C818A1">
        <w:trPr>
          <w:trHeight w:val="535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5F0BD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Rendelet-tervezet címe:</w:t>
            </w:r>
          </w:p>
          <w:p w14:paraId="62517F90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2213" w14:textId="6C057AAB" w:rsidR="00D7503E" w:rsidRPr="00D7503E" w:rsidRDefault="00D7503E" w:rsidP="00D7503E">
            <w:pPr>
              <w:pStyle w:val="Szvegtrzs"/>
              <w:spacing w:before="240" w:after="48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503E">
              <w:rPr>
                <w:rFonts w:asciiTheme="minorHAnsi" w:hAnsiTheme="minorHAnsi" w:cstheme="minorHAnsi"/>
                <w:b/>
                <w:sz w:val="20"/>
                <w:szCs w:val="20"/>
              </w:rPr>
              <w:t>Balatonberény Község Önkormányzat Képviselő-testületének</w:t>
            </w:r>
            <w:r w:rsidRPr="00D7503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Pr="00D7503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az időskorú lakosok egyszeri önkormányzati támogatásáról </w:t>
            </w:r>
            <w:r w:rsidRPr="00D7503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hu-HU"/>
              </w:rPr>
              <w:t>szóló önkormányzati rendelet-tervezete</w:t>
            </w:r>
          </w:p>
        </w:tc>
      </w:tr>
      <w:tr w:rsidR="00D7503E" w:rsidRPr="00DB298A" w14:paraId="405B3C58" w14:textId="77777777" w:rsidTr="00C818A1">
        <w:trPr>
          <w:trHeight w:val="393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41BD6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Rendelet-tervezet valamennyi jelentős hatása, különösen</w:t>
            </w:r>
          </w:p>
          <w:p w14:paraId="3FBC92DF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</w:tr>
      <w:tr w:rsidR="00D7503E" w:rsidRPr="00DB298A" w14:paraId="72BA515E" w14:textId="77777777" w:rsidTr="00C818A1">
        <w:trPr>
          <w:trHeight w:val="792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6D2D0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Társadalmi, gazdasági </w:t>
            </w:r>
          </w:p>
          <w:p w14:paraId="77723D0B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hatás</w:t>
            </w:r>
          </w:p>
          <w:p w14:paraId="749CB3C6" w14:textId="77777777" w:rsidR="00D7503E" w:rsidRPr="00DB298A" w:rsidRDefault="00D7503E" w:rsidP="00C818A1">
            <w:pPr>
              <w:spacing w:after="0" w:line="240" w:lineRule="auto"/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9989C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Költségvetési hatás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05EE2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Környezeti, </w:t>
            </w:r>
          </w:p>
          <w:p w14:paraId="0154BF26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egészségügyi</w:t>
            </w:r>
          </w:p>
          <w:p w14:paraId="2B35CD61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következmények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4BB09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Adminisztratív </w:t>
            </w:r>
          </w:p>
          <w:p w14:paraId="18582179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terheket</w:t>
            </w:r>
          </w:p>
          <w:p w14:paraId="0808EEFC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befolyásoló hatás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4ECB9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Egyéb hatás</w:t>
            </w:r>
          </w:p>
        </w:tc>
      </w:tr>
      <w:tr w:rsidR="00D7503E" w:rsidRPr="00DB298A" w14:paraId="52EAECC7" w14:textId="77777777" w:rsidTr="00C818A1">
        <w:trPr>
          <w:trHeight w:val="1706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06D05" w14:textId="514EBED1" w:rsidR="00D7503E" w:rsidRPr="00DB298A" w:rsidRDefault="00D7503E" w:rsidP="00C818A1">
            <w:pPr>
              <w:spacing w:after="0" w:line="240" w:lineRule="auto"/>
              <w:jc w:val="both"/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</w:pPr>
            <w:r w:rsidRPr="00DB298A"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  <w:t>Önkormányzat Képviselő-testülete által bi</w:t>
            </w:r>
            <w:r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  <w:t>ztosított támogatás</w:t>
            </w:r>
            <w:r w:rsidRPr="00DB298A"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  <w:t xml:space="preserve"> feltételeit, mértékét, elbírálásának rendjét a korábbi jól bevált gyakorlat szerint biztosítjuk a megha</w:t>
            </w:r>
            <w:r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  <w:t xml:space="preserve">tározott életkorú </w:t>
            </w:r>
            <w:r w:rsidRPr="00DB298A"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  <w:t xml:space="preserve">polgárai számára jövedelemtől függetlenül.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34BFC" w14:textId="1F054A7A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A 202</w:t>
            </w: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>. évi költség</w:t>
            </w:r>
            <w:r>
              <w:rPr>
                <w:rFonts w:asciiTheme="majorHAnsi" w:hAnsiTheme="majorHAnsi"/>
                <w:sz w:val="20"/>
                <w:szCs w:val="20"/>
              </w:rPr>
              <w:t>vetésben tervezett keretösszeg rendelkezésre áll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6BD11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nincs. 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009B3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0C74E" w14:textId="76D2C142" w:rsidR="00D7503E" w:rsidRPr="00DB298A" w:rsidRDefault="00641F0C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</w:t>
            </w:r>
            <w:r w:rsidR="00D7503E" w:rsidRPr="00DB298A">
              <w:rPr>
                <w:rFonts w:asciiTheme="majorHAnsi" w:hAnsiTheme="majorHAnsi"/>
                <w:sz w:val="20"/>
                <w:szCs w:val="20"/>
              </w:rPr>
              <w:t>incs.</w:t>
            </w:r>
          </w:p>
        </w:tc>
      </w:tr>
      <w:tr w:rsidR="00D7503E" w:rsidRPr="00DB298A" w14:paraId="6DCF71C3" w14:textId="77777777" w:rsidTr="00C818A1">
        <w:trPr>
          <w:trHeight w:val="696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A6849" w14:textId="77777777" w:rsidR="00D7503E" w:rsidRPr="00DB298A" w:rsidRDefault="00D7503E" w:rsidP="00C818A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megalkotása szükséges, mert: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A Kúria döntését figyelembe véve e támogatási formák eredeti jog</w:t>
            </w:r>
            <w:r>
              <w:rPr>
                <w:rFonts w:asciiTheme="majorHAnsi" w:hAnsiTheme="majorHAnsi"/>
                <w:sz w:val="20"/>
                <w:szCs w:val="20"/>
              </w:rPr>
              <w:t>alkotói hatáskörben állapíthatók meg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törvényesen.</w:t>
            </w:r>
          </w:p>
        </w:tc>
      </w:tr>
      <w:tr w:rsidR="00D7503E" w:rsidRPr="00DB298A" w14:paraId="7CBD8F10" w14:textId="77777777" w:rsidTr="00C818A1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C3D5A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megalkotásának elmaradása esetén várható következmények:</w:t>
            </w:r>
          </w:p>
          <w:p w14:paraId="69DA74BE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Az önkormányzat által eddig biztosított támogatások esetleges elvonása, lehetősége az állampolgárok részéről negatív megítélést eredményezne.</w:t>
            </w:r>
          </w:p>
        </w:tc>
      </w:tr>
      <w:tr w:rsidR="00D7503E" w:rsidRPr="00DB298A" w14:paraId="4A12A427" w14:textId="77777777" w:rsidTr="00C818A1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64430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alkalmazásához szükséges feltételek:</w:t>
            </w:r>
          </w:p>
        </w:tc>
      </w:tr>
      <w:tr w:rsidR="00D7503E" w:rsidRPr="00DB298A" w14:paraId="5DDC5158" w14:textId="77777777" w:rsidTr="00C818A1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04748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Személyi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B6A32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Szervezeti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60696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Tárgyi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77D3C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Pénzügyi</w:t>
            </w:r>
          </w:p>
        </w:tc>
      </w:tr>
      <w:tr w:rsidR="00D7503E" w:rsidRPr="00DB298A" w14:paraId="71DB76C7" w14:textId="77777777" w:rsidTr="00C818A1">
        <w:trPr>
          <w:trHeight w:val="547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98232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4A137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987C8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AE476" w14:textId="77777777" w:rsidR="00D7503E" w:rsidRPr="00DB298A" w:rsidRDefault="00D7503E" w:rsidP="00C818A1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</w:tr>
    </w:tbl>
    <w:p w14:paraId="0CCA3FCB" w14:textId="489E1902" w:rsidR="005974C6" w:rsidRDefault="005974C6" w:rsidP="00FB548F"/>
    <w:sectPr w:rsidR="00597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61208" w14:textId="77777777" w:rsidR="00E779B8" w:rsidRDefault="00E779B8">
      <w:pPr>
        <w:spacing w:after="0" w:line="240" w:lineRule="auto"/>
      </w:pPr>
      <w:r>
        <w:separator/>
      </w:r>
    </w:p>
  </w:endnote>
  <w:endnote w:type="continuationSeparator" w:id="0">
    <w:p w14:paraId="68CCAFB8" w14:textId="77777777" w:rsidR="00E779B8" w:rsidRDefault="00E77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84E34" w14:textId="2B285FD3" w:rsidR="002637E6" w:rsidRDefault="00855B1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B548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E4FB3" w14:textId="77777777" w:rsidR="00E779B8" w:rsidRDefault="00E779B8">
      <w:pPr>
        <w:spacing w:after="0" w:line="240" w:lineRule="auto"/>
      </w:pPr>
      <w:r>
        <w:separator/>
      </w:r>
    </w:p>
  </w:footnote>
  <w:footnote w:type="continuationSeparator" w:id="0">
    <w:p w14:paraId="02FC86C7" w14:textId="77777777" w:rsidR="00E779B8" w:rsidRDefault="00E77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369C"/>
    <w:multiLevelType w:val="hybridMultilevel"/>
    <w:tmpl w:val="AEDCD38E"/>
    <w:lvl w:ilvl="0" w:tplc="FBAA32A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B5277EE"/>
    <w:multiLevelType w:val="hybridMultilevel"/>
    <w:tmpl w:val="E208CD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512B8"/>
    <w:multiLevelType w:val="hybridMultilevel"/>
    <w:tmpl w:val="A1BAC5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47928"/>
    <w:multiLevelType w:val="hybridMultilevel"/>
    <w:tmpl w:val="7518BCA0"/>
    <w:lvl w:ilvl="0" w:tplc="8B06058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46190187"/>
    <w:multiLevelType w:val="hybridMultilevel"/>
    <w:tmpl w:val="B9A0DAA0"/>
    <w:lvl w:ilvl="0" w:tplc="47F88CC4">
      <w:start w:val="1"/>
      <w:numFmt w:val="decimal"/>
      <w:lvlText w:val="(%1)"/>
      <w:lvlJc w:val="left"/>
      <w:pPr>
        <w:ind w:left="732" w:hanging="372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250B7"/>
    <w:multiLevelType w:val="hybridMultilevel"/>
    <w:tmpl w:val="839C6F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E1C46"/>
    <w:multiLevelType w:val="hybridMultilevel"/>
    <w:tmpl w:val="B9B865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F23D3"/>
    <w:multiLevelType w:val="hybridMultilevel"/>
    <w:tmpl w:val="98906402"/>
    <w:lvl w:ilvl="0" w:tplc="72CC93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A17FD"/>
    <w:multiLevelType w:val="hybridMultilevel"/>
    <w:tmpl w:val="9822D4BA"/>
    <w:lvl w:ilvl="0" w:tplc="EFE85F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36E"/>
    <w:rsid w:val="001A709D"/>
    <w:rsid w:val="001D19E8"/>
    <w:rsid w:val="00230CF8"/>
    <w:rsid w:val="0024536E"/>
    <w:rsid w:val="002A0AAA"/>
    <w:rsid w:val="003B2176"/>
    <w:rsid w:val="003E3FA1"/>
    <w:rsid w:val="00464C9F"/>
    <w:rsid w:val="00501D56"/>
    <w:rsid w:val="005136EB"/>
    <w:rsid w:val="00562736"/>
    <w:rsid w:val="005974C6"/>
    <w:rsid w:val="00641F0C"/>
    <w:rsid w:val="00657131"/>
    <w:rsid w:val="006A6866"/>
    <w:rsid w:val="00797614"/>
    <w:rsid w:val="007E0757"/>
    <w:rsid w:val="00854EF7"/>
    <w:rsid w:val="00855B1A"/>
    <w:rsid w:val="00921EFA"/>
    <w:rsid w:val="00A57311"/>
    <w:rsid w:val="00BD2CFB"/>
    <w:rsid w:val="00D62C1A"/>
    <w:rsid w:val="00D7503E"/>
    <w:rsid w:val="00DD6AE3"/>
    <w:rsid w:val="00E779B8"/>
    <w:rsid w:val="00E879B0"/>
    <w:rsid w:val="00EF6F63"/>
    <w:rsid w:val="00F417B1"/>
    <w:rsid w:val="00FB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385A2"/>
  <w15:chartTrackingRefBased/>
  <w15:docId w15:val="{0C85C3C5-280F-4621-8FDA-3FAF15E1F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536E"/>
  </w:style>
  <w:style w:type="paragraph" w:styleId="Cmsor1">
    <w:name w:val="heading 1"/>
    <w:basedOn w:val="Norml"/>
    <w:link w:val="Cmsor1Char"/>
    <w:uiPriority w:val="9"/>
    <w:qFormat/>
    <w:rsid w:val="00FB54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D19E8"/>
    <w:pPr>
      <w:ind w:left="720"/>
      <w:contextualSpacing/>
    </w:pPr>
  </w:style>
  <w:style w:type="paragraph" w:customStyle="1" w:styleId="x2h-tartalom">
    <w:name w:val="x2h-tartalom"/>
    <w:basedOn w:val="Norml"/>
    <w:rsid w:val="00D62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3E3FA1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3E3FA1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rsid w:val="003E3FA1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llbChar">
    <w:name w:val="Élőláb Char"/>
    <w:basedOn w:val="Bekezdsalapbettpusa"/>
    <w:link w:val="llb"/>
    <w:rsid w:val="003E3FA1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FB548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746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2022-10-06T13:08:00Z</cp:lastPrinted>
  <dcterms:created xsi:type="dcterms:W3CDTF">2022-10-06T13:09:00Z</dcterms:created>
  <dcterms:modified xsi:type="dcterms:W3CDTF">2022-10-20T06:23:00Z</dcterms:modified>
</cp:coreProperties>
</file>