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905" w:rsidRDefault="00DD3DCB">
      <w:pPr>
        <w:jc w:val="center"/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sz w:val="36"/>
          <w:szCs w:val="36"/>
        </w:rPr>
        <w:t>ELŐTERJESZTÉS</w:t>
      </w:r>
    </w:p>
    <w:p w:rsidR="00F94905" w:rsidRDefault="00F94905">
      <w:pPr>
        <w:tabs>
          <w:tab w:val="left" w:pos="0"/>
        </w:tabs>
        <w:overflowPunct w:val="0"/>
        <w:jc w:val="both"/>
        <w:textAlignment w:val="baseline"/>
        <w:rPr>
          <w:b/>
          <w:sz w:val="32"/>
        </w:rPr>
      </w:pPr>
    </w:p>
    <w:p w:rsidR="00F94905" w:rsidRDefault="00F94905">
      <w:pPr>
        <w:tabs>
          <w:tab w:val="left" w:pos="0"/>
        </w:tabs>
        <w:overflowPunct w:val="0"/>
        <w:jc w:val="both"/>
        <w:textAlignment w:val="baseline"/>
        <w:rPr>
          <w:b/>
          <w:sz w:val="32"/>
          <w:szCs w:val="20"/>
        </w:rPr>
      </w:pPr>
    </w:p>
    <w:p w:rsidR="00F94905" w:rsidRDefault="00DD3DCB">
      <w:pPr>
        <w:tabs>
          <w:tab w:val="left" w:pos="0"/>
        </w:tabs>
        <w:overflowPunct w:val="0"/>
        <w:jc w:val="center"/>
        <w:textAlignment w:val="baseline"/>
        <w:rPr>
          <w:b/>
          <w:sz w:val="32"/>
          <w:szCs w:val="20"/>
        </w:rPr>
      </w:pPr>
      <w:r>
        <w:rPr>
          <w:noProof/>
        </w:rPr>
        <w:drawing>
          <wp:inline distT="0" distB="0" distL="0" distR="0">
            <wp:extent cx="1095375" cy="12573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905" w:rsidRDefault="00F94905">
      <w:pPr>
        <w:tabs>
          <w:tab w:val="left" w:pos="0"/>
        </w:tabs>
        <w:overflowPunct w:val="0"/>
        <w:jc w:val="both"/>
        <w:textAlignment w:val="baseline"/>
        <w:rPr>
          <w:b/>
          <w:sz w:val="32"/>
          <w:szCs w:val="20"/>
        </w:rPr>
      </w:pPr>
    </w:p>
    <w:p w:rsidR="00F94905" w:rsidRDefault="00DD3DCB">
      <w:pPr>
        <w:tabs>
          <w:tab w:val="left" w:pos="0"/>
        </w:tabs>
        <w:overflowPunct w:val="0"/>
        <w:jc w:val="center"/>
        <w:textAlignment w:val="baseline"/>
        <w:rPr>
          <w:b/>
          <w:sz w:val="32"/>
          <w:szCs w:val="20"/>
        </w:rPr>
      </w:pPr>
      <w:r>
        <w:rPr>
          <w:b/>
          <w:sz w:val="32"/>
          <w:szCs w:val="20"/>
        </w:rPr>
        <w:t>BALATONBERÉNY KÖZSÉG</w:t>
      </w:r>
    </w:p>
    <w:p w:rsidR="00F94905" w:rsidRDefault="00DD3DCB">
      <w:pPr>
        <w:tabs>
          <w:tab w:val="left" w:pos="0"/>
        </w:tabs>
        <w:overflowPunct w:val="0"/>
        <w:jc w:val="center"/>
        <w:textAlignment w:val="baseline"/>
        <w:rPr>
          <w:b/>
          <w:sz w:val="32"/>
          <w:szCs w:val="20"/>
        </w:rPr>
      </w:pPr>
      <w:r>
        <w:rPr>
          <w:b/>
          <w:sz w:val="32"/>
          <w:szCs w:val="20"/>
        </w:rPr>
        <w:t>ÖNKORMÁNYZAT</w:t>
      </w:r>
    </w:p>
    <w:p w:rsidR="00F94905" w:rsidRDefault="00DD3DCB">
      <w:pPr>
        <w:keepNext/>
        <w:tabs>
          <w:tab w:val="left" w:pos="0"/>
        </w:tabs>
        <w:overflowPunct w:val="0"/>
        <w:jc w:val="center"/>
        <w:textAlignment w:val="baseline"/>
        <w:outlineLvl w:val="1"/>
        <w:rPr>
          <w:b/>
          <w:bCs/>
          <w:i/>
          <w:iCs/>
          <w:sz w:val="32"/>
        </w:rPr>
      </w:pPr>
      <w:r>
        <w:rPr>
          <w:b/>
          <w:bCs/>
          <w:i/>
          <w:iCs/>
          <w:sz w:val="28"/>
        </w:rPr>
        <w:t>KÉPVISELŐ-TESTÜLETÉNEK</w:t>
      </w:r>
    </w:p>
    <w:p w:rsidR="00F94905" w:rsidRDefault="00F94905">
      <w:pPr>
        <w:tabs>
          <w:tab w:val="left" w:pos="0"/>
        </w:tabs>
        <w:overflowPunct w:val="0"/>
        <w:jc w:val="both"/>
        <w:textAlignment w:val="baseline"/>
        <w:rPr>
          <w:sz w:val="32"/>
          <w:szCs w:val="20"/>
        </w:rPr>
      </w:pPr>
    </w:p>
    <w:p w:rsidR="00F94905" w:rsidRDefault="00F94905">
      <w:pPr>
        <w:tabs>
          <w:tab w:val="left" w:pos="0"/>
        </w:tabs>
        <w:overflowPunct w:val="0"/>
        <w:jc w:val="both"/>
        <w:textAlignment w:val="baseline"/>
        <w:rPr>
          <w:b/>
          <w:sz w:val="32"/>
          <w:szCs w:val="20"/>
        </w:rPr>
      </w:pPr>
    </w:p>
    <w:p w:rsidR="00F94905" w:rsidRDefault="00DD3DCB">
      <w:pPr>
        <w:tabs>
          <w:tab w:val="left" w:pos="0"/>
        </w:tabs>
        <w:jc w:val="center"/>
        <w:rPr>
          <w:b/>
          <w:sz w:val="32"/>
          <w:lang w:eastAsia="zh-CN"/>
        </w:rPr>
      </w:pPr>
      <w:r>
        <w:rPr>
          <w:b/>
          <w:sz w:val="32"/>
          <w:lang w:eastAsia="zh-CN"/>
        </w:rPr>
        <w:t xml:space="preserve">2023. augusztus 10-i </w:t>
      </w:r>
    </w:p>
    <w:p w:rsidR="00F94905" w:rsidRDefault="00DD3DCB">
      <w:pPr>
        <w:tabs>
          <w:tab w:val="left" w:pos="0"/>
        </w:tabs>
        <w:jc w:val="center"/>
        <w:rPr>
          <w:b/>
          <w:sz w:val="32"/>
          <w:lang w:eastAsia="zh-CN"/>
        </w:rPr>
      </w:pPr>
      <w:r>
        <w:rPr>
          <w:b/>
          <w:sz w:val="32"/>
          <w:lang w:eastAsia="zh-CN"/>
        </w:rPr>
        <w:t>NYILVÁNOS RENDKÍVÜLI ÜLÉSÉRE</w:t>
      </w:r>
    </w:p>
    <w:p w:rsidR="00F94905" w:rsidRDefault="00F94905">
      <w:pPr>
        <w:tabs>
          <w:tab w:val="left" w:pos="0"/>
        </w:tabs>
        <w:overflowPunct w:val="0"/>
        <w:jc w:val="center"/>
        <w:textAlignment w:val="baseline"/>
        <w:rPr>
          <w:b/>
          <w:sz w:val="32"/>
        </w:rPr>
      </w:pPr>
    </w:p>
    <w:p w:rsidR="00F94905" w:rsidRDefault="00F94905">
      <w:pPr>
        <w:tabs>
          <w:tab w:val="left" w:pos="0"/>
        </w:tabs>
        <w:overflowPunct w:val="0"/>
        <w:jc w:val="center"/>
        <w:textAlignment w:val="baseline"/>
        <w:rPr>
          <w:b/>
          <w:sz w:val="32"/>
          <w:szCs w:val="20"/>
        </w:rPr>
      </w:pPr>
    </w:p>
    <w:p w:rsidR="00F94905" w:rsidRDefault="00F94905">
      <w:pPr>
        <w:tabs>
          <w:tab w:val="left" w:pos="0"/>
        </w:tabs>
        <w:overflowPunct w:val="0"/>
        <w:jc w:val="center"/>
        <w:textAlignment w:val="baseline"/>
        <w:rPr>
          <w:b/>
          <w:sz w:val="32"/>
          <w:szCs w:val="20"/>
        </w:rPr>
      </w:pPr>
    </w:p>
    <w:p w:rsidR="00F94905" w:rsidRDefault="00F94905">
      <w:pPr>
        <w:tabs>
          <w:tab w:val="left" w:pos="0"/>
        </w:tabs>
        <w:overflowPunct w:val="0"/>
        <w:jc w:val="center"/>
        <w:textAlignment w:val="baseline"/>
        <w:rPr>
          <w:b/>
          <w:sz w:val="32"/>
          <w:szCs w:val="20"/>
        </w:rPr>
      </w:pPr>
    </w:p>
    <w:p w:rsidR="00F94905" w:rsidRDefault="00DD3DCB">
      <w:pPr>
        <w:tabs>
          <w:tab w:val="left" w:pos="0"/>
        </w:tabs>
        <w:overflowPunct w:val="0"/>
        <w:jc w:val="center"/>
        <w:textAlignment w:val="baseline"/>
        <w:rPr>
          <w:b/>
          <w:sz w:val="32"/>
          <w:szCs w:val="20"/>
        </w:rPr>
      </w:pPr>
      <w:r>
        <w:rPr>
          <w:b/>
          <w:sz w:val="32"/>
          <w:szCs w:val="20"/>
        </w:rPr>
        <w:t>TÁRGY:</w:t>
      </w: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DD3DCB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Vízparti állami tulajdonú ingatlanok térítésmentes önkormányzati tulajdonba vételéről szóló döntés meghozatala</w:t>
      </w:r>
    </w:p>
    <w:p w:rsidR="00F94905" w:rsidRDefault="00F94905">
      <w:pPr>
        <w:jc w:val="center"/>
        <w:rPr>
          <w:rFonts w:ascii="Century Gothic" w:hAnsi="Century Gothic"/>
          <w:b/>
          <w:sz w:val="28"/>
          <w:szCs w:val="28"/>
        </w:rPr>
      </w:pPr>
    </w:p>
    <w:p w:rsidR="00F94905" w:rsidRDefault="00F94905">
      <w:pPr>
        <w:jc w:val="center"/>
        <w:rPr>
          <w:rFonts w:ascii="Century Gothic" w:hAnsi="Century Gothic"/>
          <w:b/>
          <w:sz w:val="28"/>
          <w:szCs w:val="28"/>
        </w:rPr>
      </w:pPr>
    </w:p>
    <w:p w:rsidR="00F94905" w:rsidRDefault="00DD3DCB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Előadó:</w:t>
      </w:r>
    </w:p>
    <w:p w:rsidR="00F94905" w:rsidRDefault="00DD3DCB">
      <w:pPr>
        <w:jc w:val="center"/>
        <w:rPr>
          <w:rFonts w:ascii="Century Gothic" w:hAnsi="Century Gothic"/>
          <w:b/>
          <w:sz w:val="28"/>
          <w:szCs w:val="28"/>
        </w:rPr>
      </w:pPr>
      <w:proofErr w:type="spellStart"/>
      <w:r>
        <w:rPr>
          <w:rFonts w:ascii="Century Gothic" w:hAnsi="Century Gothic"/>
          <w:b/>
          <w:sz w:val="28"/>
          <w:szCs w:val="28"/>
        </w:rPr>
        <w:t>Druskoczi</w:t>
      </w:r>
      <w:proofErr w:type="spellEnd"/>
      <w:r>
        <w:rPr>
          <w:rFonts w:ascii="Century Gothic" w:hAnsi="Century Gothic"/>
          <w:b/>
          <w:sz w:val="28"/>
          <w:szCs w:val="28"/>
        </w:rPr>
        <w:t xml:space="preserve"> Tünde</w:t>
      </w:r>
    </w:p>
    <w:p w:rsidR="00F94905" w:rsidRDefault="00DD3DCB">
      <w:pPr>
        <w:jc w:val="center"/>
        <w:rPr>
          <w:rFonts w:ascii="Century Gothic" w:hAnsi="Century Gothic"/>
          <w:b/>
          <w:sz w:val="28"/>
          <w:szCs w:val="28"/>
        </w:rPr>
      </w:pPr>
      <w:proofErr w:type="gramStart"/>
      <w:r>
        <w:rPr>
          <w:rFonts w:ascii="Century Gothic" w:hAnsi="Century Gothic"/>
          <w:b/>
          <w:sz w:val="28"/>
          <w:szCs w:val="28"/>
        </w:rPr>
        <w:t>polgármester</w:t>
      </w:r>
      <w:proofErr w:type="gramEnd"/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DD3DCB">
      <w:pPr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Tisztelt Képviselő-testület!</w:t>
      </w:r>
    </w:p>
    <w:p w:rsidR="00F94905" w:rsidRDefault="00F94905">
      <w:pPr>
        <w:jc w:val="both"/>
        <w:rPr>
          <w:rFonts w:ascii="Century Gothic" w:hAnsi="Century Gothic"/>
          <w:b/>
          <w:bCs/>
        </w:rPr>
      </w:pPr>
    </w:p>
    <w:p w:rsidR="00F94905" w:rsidRDefault="00DD3DCB">
      <w:pPr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 xml:space="preserve">A Balatoni Szövetség megkeresésére önkormányzatunk már korábban is foglalkozott a </w:t>
      </w:r>
      <w:proofErr w:type="spellStart"/>
      <w:r>
        <w:rPr>
          <w:rFonts w:ascii="Century Gothic" w:hAnsi="Century Gothic"/>
          <w:bCs/>
        </w:rPr>
        <w:t>balatonberényi</w:t>
      </w:r>
      <w:proofErr w:type="spellEnd"/>
      <w:r>
        <w:rPr>
          <w:rFonts w:ascii="Century Gothic" w:hAnsi="Century Gothic"/>
          <w:bCs/>
        </w:rPr>
        <w:t xml:space="preserve"> közvetlen vízparti és a Magyar Állam tulajdonát képező ingatlanok közcélú területfelhasználásával. Ezeket az ingatlanokat önkormányzatunk összeírta és az így e</w:t>
      </w:r>
      <w:r>
        <w:rPr>
          <w:rFonts w:ascii="Century Gothic" w:hAnsi="Century Gothic"/>
          <w:bCs/>
        </w:rPr>
        <w:t xml:space="preserve">lkészült listát továbbította is a szövetség felé. </w:t>
      </w:r>
    </w:p>
    <w:p w:rsidR="00F94905" w:rsidRDefault="00DD3DCB">
      <w:pPr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Balatonberény település rendezési terv</w:t>
      </w:r>
      <w:r w:rsidR="00166D07">
        <w:rPr>
          <w:rFonts w:ascii="Century Gothic" w:hAnsi="Century Gothic"/>
          <w:bCs/>
        </w:rPr>
        <w:t>ében szerepel a község N</w:t>
      </w:r>
      <w:bookmarkStart w:id="0" w:name="_GoBack"/>
      <w:bookmarkEnd w:id="0"/>
      <w:r w:rsidR="00BB1E9E">
        <w:rPr>
          <w:rFonts w:ascii="Century Gothic" w:hAnsi="Century Gothic"/>
          <w:bCs/>
        </w:rPr>
        <w:t>yugat-B</w:t>
      </w:r>
      <w:r>
        <w:rPr>
          <w:rFonts w:ascii="Century Gothic" w:hAnsi="Century Gothic"/>
          <w:bCs/>
        </w:rPr>
        <w:t>alaton</w:t>
      </w:r>
      <w:r w:rsidR="00BB1E9E">
        <w:rPr>
          <w:rFonts w:ascii="Century Gothic" w:hAnsi="Century Gothic"/>
          <w:bCs/>
        </w:rPr>
        <w:t xml:space="preserve"> </w:t>
      </w:r>
      <w:r>
        <w:rPr>
          <w:rFonts w:ascii="Century Gothic" w:hAnsi="Century Gothic"/>
          <w:bCs/>
        </w:rPr>
        <w:t>pa</w:t>
      </w:r>
      <w:r w:rsidR="00BB1E9E">
        <w:rPr>
          <w:rFonts w:ascii="Century Gothic" w:hAnsi="Century Gothic"/>
          <w:bCs/>
        </w:rPr>
        <w:t>rti településrendezési eszközök</w:t>
      </w:r>
      <w:r>
        <w:rPr>
          <w:rFonts w:ascii="Century Gothic" w:hAnsi="Century Gothic"/>
          <w:bCs/>
        </w:rPr>
        <w:t xml:space="preserve"> részén közcélú vízparti zöldterületek (közpark, sétány) kialakításának, illetve ehhez </w:t>
      </w:r>
      <w:r>
        <w:rPr>
          <w:rFonts w:ascii="Century Gothic" w:hAnsi="Century Gothic"/>
          <w:bCs/>
        </w:rPr>
        <w:t xml:space="preserve">kapcsolódóan a Balatonberény 02/16 </w:t>
      </w:r>
      <w:proofErr w:type="spellStart"/>
      <w:r>
        <w:rPr>
          <w:rFonts w:ascii="Century Gothic" w:hAnsi="Century Gothic"/>
          <w:bCs/>
        </w:rPr>
        <w:t>hrsz</w:t>
      </w:r>
      <w:proofErr w:type="spellEnd"/>
      <w:r>
        <w:rPr>
          <w:rFonts w:ascii="Century Gothic" w:hAnsi="Century Gothic"/>
          <w:bCs/>
        </w:rPr>
        <w:t>-ú ingatlanon strandfürdő létesítésének terve, amely biztosítaná az állampolgárok vízhez történő közvetlen lejutását, sport és szabadidős tevékenységét, strandolási lehetőségét.</w:t>
      </w:r>
    </w:p>
    <w:p w:rsidR="00F94905" w:rsidRDefault="00DD3DCB">
      <w:pPr>
        <w:jc w:val="both"/>
        <w:rPr>
          <w:rFonts w:ascii="Century Gothic" w:hAnsi="Century Gothic"/>
          <w:bCs/>
        </w:rPr>
      </w:pPr>
      <w:r>
        <w:rPr>
          <w:rFonts w:ascii="Century Gothic" w:hAnsi="Century Gothic"/>
          <w:bCs/>
        </w:rPr>
        <w:t>A településrendezési eszközökben (szabá</w:t>
      </w:r>
      <w:r>
        <w:rPr>
          <w:rFonts w:ascii="Century Gothic" w:hAnsi="Century Gothic"/>
          <w:bCs/>
        </w:rPr>
        <w:t xml:space="preserve">lyozási tervben) ezek az ingatlanok  Z-kp-1 övezeti besorolásúak (kivéve a 02/16 </w:t>
      </w:r>
      <w:proofErr w:type="spellStart"/>
      <w:r>
        <w:rPr>
          <w:rFonts w:ascii="Century Gothic" w:hAnsi="Century Gothic"/>
          <w:bCs/>
        </w:rPr>
        <w:t>hrsz</w:t>
      </w:r>
      <w:proofErr w:type="spellEnd"/>
      <w:r>
        <w:rPr>
          <w:rFonts w:ascii="Century Gothic" w:hAnsi="Century Gothic"/>
          <w:bCs/>
        </w:rPr>
        <w:t xml:space="preserve">-ú, „kivett strandfürdő” megnevezésű, K-St-2 övezeti besorolású ingatlant), melynek célja -zöldterületi jellegéből adódóan – </w:t>
      </w:r>
      <w:r>
        <w:rPr>
          <w:rFonts w:ascii="Century Gothic" w:hAnsi="Century Gothic"/>
        </w:rPr>
        <w:t xml:space="preserve">a település </w:t>
      </w:r>
      <w:proofErr w:type="gramStart"/>
      <w:r>
        <w:rPr>
          <w:rFonts w:ascii="Century Gothic" w:hAnsi="Century Gothic"/>
        </w:rPr>
        <w:t>klimatikus</w:t>
      </w:r>
      <w:proofErr w:type="gramEnd"/>
      <w:r>
        <w:rPr>
          <w:rFonts w:ascii="Century Gothic" w:hAnsi="Century Gothic"/>
        </w:rPr>
        <w:t xml:space="preserve"> viszonyainak megőrzése,</w:t>
      </w:r>
      <w:r>
        <w:rPr>
          <w:rFonts w:ascii="Century Gothic" w:hAnsi="Century Gothic"/>
        </w:rPr>
        <w:t xml:space="preserve"> javítása, ökológiai rendszerének védelme, a pihenés, testedzés kiszolgálása.</w:t>
      </w:r>
    </w:p>
    <w:p w:rsidR="00F94905" w:rsidRDefault="00F94905">
      <w:pPr>
        <w:jc w:val="both"/>
        <w:rPr>
          <w:rFonts w:ascii="Century Gothic" w:hAnsi="Century Gothic"/>
          <w:bCs/>
        </w:rPr>
      </w:pP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Magyar Állam 1/1 arányú tulajdonában álló közvetlen vízparti ingatlanok Balatonberény területén az alábbiak (nyugatról keleti irányba haladva):</w:t>
      </w: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DD3DCB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Balatonberény belterület 657/1</w:t>
      </w:r>
      <w:r>
        <w:rPr>
          <w:rFonts w:ascii="Century Gothic" w:hAnsi="Century Gothic"/>
        </w:rPr>
        <w:t xml:space="preserve">3 helyrajzi számon nyilvántartott „kivett beépítetlen terület” megnevezésű, 1988 m2 alapterületű, Z-kp-1 besorolású ingatlan. </w:t>
      </w:r>
    </w:p>
    <w:p w:rsidR="00F94905" w:rsidRDefault="00DD3DCB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Balatonberény belterület 657/15 helyrajzi számon nyilvántartott „kivett beépítetlen terület” megnevezésű, 3849 m2 alapterületű, Z</w:t>
      </w:r>
      <w:r>
        <w:rPr>
          <w:rFonts w:ascii="Century Gothic" w:hAnsi="Century Gothic"/>
        </w:rPr>
        <w:t xml:space="preserve">-kp-1 besorolású ingatlan. </w:t>
      </w:r>
    </w:p>
    <w:p w:rsidR="00F94905" w:rsidRDefault="00DD3DCB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Balatonberény belterület 657/37 helyrajzi számon nyilvántartott „kivett beépítetlen terület” megnevezésű, 855 m2 alapterületű, Z-kp-1 besorolású ingatlan. </w:t>
      </w:r>
    </w:p>
    <w:p w:rsidR="00F94905" w:rsidRDefault="00DD3DCB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Balatonberény belterület 657/32 helyrajzi számon nyilvántartott „kivett </w:t>
      </w:r>
      <w:r>
        <w:rPr>
          <w:rFonts w:ascii="Century Gothic" w:hAnsi="Century Gothic"/>
        </w:rPr>
        <w:t xml:space="preserve">beépítetlen terület” megnevezésű, 252 m2 alapterületű, Z-kp-1 besorolású ingatlan. </w:t>
      </w:r>
    </w:p>
    <w:p w:rsidR="00F94905" w:rsidRDefault="00DD3DCB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Balatonberény belterület 657/33 helyrajzi számon nyilvántartott „kivett beépítetlen terület” megnevezésű, 337 m2 alapterületű, Z-kp-1 besorolású ingatlan. </w:t>
      </w:r>
    </w:p>
    <w:p w:rsidR="00F94905" w:rsidRDefault="00DD3DCB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Balatonberény belterület 02/16 helyrajzi számon nyilvántartott „kivett strandfürdő” megnevezésű, 2430 m2 alapterületű, </w:t>
      </w:r>
      <w:proofErr w:type="spellStart"/>
      <w:r>
        <w:rPr>
          <w:rFonts w:ascii="Century Gothic" w:hAnsi="Century Gothic"/>
        </w:rPr>
        <w:t>Natura</w:t>
      </w:r>
      <w:proofErr w:type="spellEnd"/>
      <w:r>
        <w:rPr>
          <w:rFonts w:ascii="Century Gothic" w:hAnsi="Century Gothic"/>
        </w:rPr>
        <w:t xml:space="preserve"> 2000 és K-St-2 besorolású ingatlan. </w:t>
      </w:r>
    </w:p>
    <w:p w:rsidR="00F94905" w:rsidRDefault="00DD3DCB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Balatonberény belterület 658/4 helyrajzi számon nyilvántartott „kivett beépítetlen terület” m</w:t>
      </w:r>
      <w:r>
        <w:rPr>
          <w:rFonts w:ascii="Century Gothic" w:hAnsi="Century Gothic"/>
        </w:rPr>
        <w:t xml:space="preserve">egnevezésű, 2070 m2 alapterületű, Z-kp-1 besorolású ingatlan. </w:t>
      </w:r>
    </w:p>
    <w:p w:rsidR="00F94905" w:rsidRDefault="00DD3DCB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Balatonberény belterület 02/28 helyrajzi számon nyilvántartott „nádas” megnevezésű, 424 m2 alapterületű, </w:t>
      </w:r>
      <w:proofErr w:type="spellStart"/>
      <w:r>
        <w:rPr>
          <w:rFonts w:ascii="Century Gothic" w:hAnsi="Century Gothic"/>
        </w:rPr>
        <w:t>Natura</w:t>
      </w:r>
      <w:proofErr w:type="spellEnd"/>
      <w:r>
        <w:rPr>
          <w:rFonts w:ascii="Century Gothic" w:hAnsi="Century Gothic"/>
        </w:rPr>
        <w:t xml:space="preserve"> 2000 és Z-kp-1 besorolású ingatlan. </w:t>
      </w:r>
    </w:p>
    <w:p w:rsidR="00F94905" w:rsidRDefault="00DD3DCB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Balatonberény belterület 02/29 helyrajzi szá</w:t>
      </w:r>
      <w:r>
        <w:rPr>
          <w:rFonts w:ascii="Century Gothic" w:hAnsi="Century Gothic"/>
        </w:rPr>
        <w:t xml:space="preserve">mon nyilvántartott „nádas” megnevezésű, 478 m2 alapterületű, </w:t>
      </w:r>
      <w:proofErr w:type="spellStart"/>
      <w:r>
        <w:rPr>
          <w:rFonts w:ascii="Century Gothic" w:hAnsi="Century Gothic"/>
        </w:rPr>
        <w:t>Natura</w:t>
      </w:r>
      <w:proofErr w:type="spellEnd"/>
      <w:r>
        <w:rPr>
          <w:rFonts w:ascii="Century Gothic" w:hAnsi="Century Gothic"/>
        </w:rPr>
        <w:t xml:space="preserve"> 2000 és Z-kp-1 besorolású ingatlan. </w:t>
      </w:r>
    </w:p>
    <w:p w:rsidR="00F94905" w:rsidRDefault="00F94905">
      <w:pPr>
        <w:pStyle w:val="Listaszerbekezds"/>
        <w:jc w:val="both"/>
        <w:rPr>
          <w:rFonts w:ascii="Century Gothic" w:hAnsi="Century Gothic"/>
        </w:rPr>
      </w:pPr>
    </w:p>
    <w:p w:rsidR="00F94905" w:rsidRDefault="00DD3DCB">
      <w:pPr>
        <w:pStyle w:val="Listaszerbekezds"/>
        <w:ind w:left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Az ingatlanok természetbeni elhelyezkedését a csatolt tervlap jelöli.</w:t>
      </w:r>
    </w:p>
    <w:p w:rsidR="00F94905" w:rsidRDefault="00F94905">
      <w:pPr>
        <w:pStyle w:val="Listaszerbekezds"/>
        <w:ind w:left="0"/>
        <w:jc w:val="both"/>
        <w:rPr>
          <w:rFonts w:ascii="Century Gothic" w:hAnsi="Century Gothic"/>
        </w:rPr>
      </w:pPr>
    </w:p>
    <w:p w:rsidR="00F94905" w:rsidRDefault="00DD3DCB">
      <w:pPr>
        <w:pStyle w:val="Listaszerbekezds"/>
        <w:ind w:left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Fenti ingatlanok térítésmentes tulajdonba vétele lehetőséget teremtene Balatonb</w:t>
      </w:r>
      <w:r>
        <w:rPr>
          <w:rFonts w:ascii="Century Gothic" w:hAnsi="Century Gothic"/>
        </w:rPr>
        <w:t>erény rendezési tervének végrehajtására, a parti sávban közcélú zöldterület (közpark, sétány), valamint strand kialakítására, azok megközelíthetőségének biztosítására.</w:t>
      </w: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nemzeti vagyonról szóló 2011. évi CXCVI. törvény 13. §-</w:t>
      </w:r>
      <w:proofErr w:type="gramStart"/>
      <w:r>
        <w:rPr>
          <w:rFonts w:ascii="Century Gothic" w:hAnsi="Century Gothic"/>
        </w:rPr>
        <w:t>a</w:t>
      </w:r>
      <w:proofErr w:type="gramEnd"/>
      <w:r>
        <w:rPr>
          <w:rFonts w:ascii="Century Gothic" w:hAnsi="Century Gothic"/>
        </w:rPr>
        <w:t xml:space="preserve"> és az állami vagyonról szóló</w:t>
      </w:r>
      <w:r>
        <w:rPr>
          <w:rFonts w:ascii="Century Gothic" w:hAnsi="Century Gothic"/>
        </w:rPr>
        <w:t xml:space="preserve"> 2007. évi CVI. törvény 36. § (2) bekezdésének c) pontja alapján az állami vagyon tulajdonjoga helyi önkormányzat javára törvényi felhatalmazása alapján kiadott jogszabályban foglalt feladatai elősegítése érdekében - ingyenesen átruházható.</w:t>
      </w: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tulajdonjog </w:t>
      </w:r>
      <w:r>
        <w:rPr>
          <w:rFonts w:ascii="Century Gothic" w:hAnsi="Century Gothic"/>
        </w:rPr>
        <w:t>átruházásának részletes szabályait az állami vagyonnal való gazdálkodásról szóló 254/2007. (X.24.) Kormányrendelet (a továbbiakban: Vhr.) tartalmazza.</w:t>
      </w: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Vhr. 50. § (2) bekezdése érdekében az ingyenes önkormányzati tulajdonba adási kérelemnek tartalmaznia </w:t>
      </w:r>
      <w:r>
        <w:rPr>
          <w:rFonts w:ascii="Century Gothic" w:hAnsi="Century Gothic"/>
        </w:rPr>
        <w:t>kell, illetve ahhoz csatolni szükséges:</w:t>
      </w: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a tulajdonba adásra vonatkozó igényt, megjelölve a </w:t>
      </w:r>
      <w:proofErr w:type="gramStart"/>
      <w:r>
        <w:rPr>
          <w:rFonts w:ascii="Century Gothic" w:hAnsi="Century Gothic"/>
        </w:rPr>
        <w:t>konkrét</w:t>
      </w:r>
      <w:proofErr w:type="gramEnd"/>
      <w:r>
        <w:rPr>
          <w:rFonts w:ascii="Century Gothic" w:hAnsi="Century Gothic"/>
        </w:rPr>
        <w:t xml:space="preserve"> felhasználási célt (az adott ingatlanra vonatkozó, egyedileg meghatározott pontos célkitűzést), valamint a Magyarország helyi önkormányzatairól szóló 2011</w:t>
      </w:r>
      <w:r>
        <w:rPr>
          <w:rFonts w:ascii="Century Gothic" w:hAnsi="Century Gothic"/>
        </w:rPr>
        <w:t xml:space="preserve">. évi CLXXXIX. törvényben (a továbbiakban: </w:t>
      </w:r>
      <w:proofErr w:type="spellStart"/>
      <w:r>
        <w:rPr>
          <w:rFonts w:ascii="Century Gothic" w:hAnsi="Century Gothic"/>
        </w:rPr>
        <w:t>Mötv</w:t>
      </w:r>
      <w:proofErr w:type="spellEnd"/>
      <w:r>
        <w:rPr>
          <w:rFonts w:ascii="Century Gothic" w:hAnsi="Century Gothic"/>
        </w:rPr>
        <w:t>.) meghatározott konkrét önkormányzati feladatot a megfelelő bekezdésre történő hivatkozással,</w:t>
      </w: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az Önkormányzat nyilatkozatát arra vonatkozóan, hogy vállalja a tulajdonba adás érdekében felmerülő költségek me</w:t>
      </w:r>
      <w:r>
        <w:rPr>
          <w:rFonts w:ascii="Century Gothic" w:hAnsi="Century Gothic"/>
        </w:rPr>
        <w:t>gtérítését,</w:t>
      </w: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a Képviselő-testület határozatát, amely az állami vagyon igényléséről hozott döntést tartalmazza,</w:t>
      </w: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védettség fennállása esetén annak megjelölését, valamint az ahhoz kapcsolódó kötelezettség vállalását.</w:t>
      </w: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Az </w:t>
      </w:r>
      <w:proofErr w:type="spellStart"/>
      <w:r>
        <w:rPr>
          <w:rFonts w:ascii="Century Gothic" w:hAnsi="Century Gothic"/>
        </w:rPr>
        <w:t>Mötv</w:t>
      </w:r>
      <w:proofErr w:type="spellEnd"/>
      <w:r>
        <w:rPr>
          <w:rFonts w:ascii="Century Gothic" w:hAnsi="Century Gothic"/>
        </w:rPr>
        <w:t>. 13. § (1) bekezdése alapján a</w:t>
      </w:r>
      <w:r>
        <w:rPr>
          <w:rFonts w:ascii="Century Gothic" w:hAnsi="Century Gothic"/>
        </w:rPr>
        <w:t xml:space="preserve"> helyi közügyek, valamint a helyben biztosítható közfeladatok körében ellátandó helyi önkormányzati feladatnak minősülnek különösen:</w:t>
      </w: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1. a településfejlesztés, településrendezés;</w:t>
      </w: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2. településüzemeltetés (</w:t>
      </w:r>
      <w:proofErr w:type="spellStart"/>
      <w:r>
        <w:rPr>
          <w:rFonts w:ascii="Century Gothic" w:hAnsi="Century Gothic"/>
        </w:rPr>
        <w:t>pl</w:t>
      </w:r>
      <w:proofErr w:type="spellEnd"/>
      <w:r>
        <w:rPr>
          <w:rFonts w:ascii="Century Gothic" w:hAnsi="Century Gothic"/>
        </w:rPr>
        <w:t>: közparkok és egyéb közterületek kialakítása és f</w:t>
      </w:r>
      <w:r>
        <w:rPr>
          <w:rFonts w:ascii="Century Gothic" w:hAnsi="Century Gothic"/>
        </w:rPr>
        <w:t>enntartása)</w:t>
      </w: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15. sport, ifjúsági ügyek.</w:t>
      </w: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Valamennyi ingatlan esetében </w:t>
      </w:r>
      <w:proofErr w:type="gramStart"/>
      <w:r>
        <w:rPr>
          <w:rFonts w:ascii="Century Gothic" w:hAnsi="Century Gothic"/>
        </w:rPr>
        <w:t>konkrét</w:t>
      </w:r>
      <w:proofErr w:type="gramEnd"/>
      <w:r>
        <w:rPr>
          <w:rFonts w:ascii="Century Gothic" w:hAnsi="Century Gothic"/>
        </w:rPr>
        <w:t xml:space="preserve"> felhasználási cél a rendezési terv végrehajtása érdekében a település nyugati részén Balaton parti közcélú zöldterület és strand kialakítása és fenntartása. </w:t>
      </w:r>
    </w:p>
    <w:p w:rsidR="00F94905" w:rsidRDefault="00F94905">
      <w:pPr>
        <w:jc w:val="center"/>
        <w:rPr>
          <w:rFonts w:ascii="Century Gothic" w:hAnsi="Century Gothic"/>
          <w:b/>
          <w:bCs/>
        </w:rPr>
      </w:pP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A fenti ingatlanok térítésmentes önkormányzati tulajdonba vételekor közvetlenül nem eredményeznek fenntartási kötelezettséget, az ingatlanokon majd később megvalósuló beruházások-fejlesztések eredményeznek fenntartási-működtetési kötelezettséget. </w:t>
      </w: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A fenti</w:t>
      </w:r>
      <w:r>
        <w:rPr>
          <w:rFonts w:ascii="Century Gothic" w:hAnsi="Century Gothic"/>
        </w:rPr>
        <w:t xml:space="preserve"> állami tulajdonú ingatlanok esetében javaslom, hogy a T. Képviselő-testület szíveskedjenek felhatalmazni a térítésmentes önkormányzati tulajdonba adáshoz szükséges eljárás megindítására a fentebb megjelölt közcél megvalósítása érdekében.</w:t>
      </w: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DD3DCB">
      <w:pPr>
        <w:jc w:val="both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Balatonberény Kö</w:t>
      </w:r>
      <w:r>
        <w:rPr>
          <w:rFonts w:ascii="Century Gothic" w:hAnsi="Century Gothic"/>
          <w:b/>
          <w:bCs/>
        </w:rPr>
        <w:t xml:space="preserve">zség Önkormányzata </w:t>
      </w:r>
      <w:proofErr w:type="gramStart"/>
      <w:r>
        <w:rPr>
          <w:rFonts w:ascii="Century Gothic" w:hAnsi="Century Gothic"/>
          <w:b/>
          <w:bCs/>
        </w:rPr>
        <w:t>Képviselő-testületének .</w:t>
      </w:r>
      <w:proofErr w:type="gramEnd"/>
      <w:r>
        <w:rPr>
          <w:rFonts w:ascii="Century Gothic" w:hAnsi="Century Gothic"/>
          <w:b/>
          <w:bCs/>
        </w:rPr>
        <w:t>......./2023. (</w:t>
      </w:r>
      <w:proofErr w:type="gramStart"/>
      <w:r>
        <w:rPr>
          <w:rFonts w:ascii="Century Gothic" w:hAnsi="Century Gothic"/>
          <w:b/>
          <w:bCs/>
        </w:rPr>
        <w:t>...</w:t>
      </w:r>
      <w:proofErr w:type="gramEnd"/>
      <w:r>
        <w:rPr>
          <w:rFonts w:ascii="Century Gothic" w:hAnsi="Century Gothic"/>
          <w:b/>
          <w:bCs/>
        </w:rPr>
        <w:t>) önkormányzati határozata állami vagyon térítésmentes önkormányzati tulajdonba vételéről szóló döntés meghozataláról</w:t>
      </w: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Balatonberény Község Önkormányzatának Képviselő-testülete megtárgyalta a víz</w:t>
      </w:r>
      <w:r>
        <w:rPr>
          <w:rFonts w:ascii="Century Gothic" w:hAnsi="Century Gothic"/>
        </w:rPr>
        <w:t>parti állami tulajdonú ingatlanok térítésmentes önkormányzati tulajdonba vételéről szóló döntés meghozatala című előterjesztést és az alábbi döntést hozza:</w:t>
      </w: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DD3DCB">
      <w:pPr>
        <w:jc w:val="both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a</w:t>
      </w:r>
      <w:proofErr w:type="gramEnd"/>
      <w:r>
        <w:rPr>
          <w:rFonts w:ascii="Century Gothic" w:hAnsi="Century Gothic"/>
        </w:rPr>
        <w:t>) A nemzeti vagyonról szóló 2011. évi CXCVI. törvény 13.§-</w:t>
      </w:r>
      <w:proofErr w:type="spellStart"/>
      <w:r>
        <w:rPr>
          <w:rFonts w:ascii="Century Gothic" w:hAnsi="Century Gothic"/>
        </w:rPr>
        <w:t>ában</w:t>
      </w:r>
      <w:proofErr w:type="spellEnd"/>
      <w:r>
        <w:rPr>
          <w:rFonts w:ascii="Century Gothic" w:hAnsi="Century Gothic"/>
        </w:rPr>
        <w:t xml:space="preserve"> foglaltak, valamint az állami vagyo</w:t>
      </w:r>
      <w:r>
        <w:rPr>
          <w:rFonts w:ascii="Century Gothic" w:hAnsi="Century Gothic"/>
        </w:rPr>
        <w:t xml:space="preserve">nról szóló 2007. évi CVI. törvény 36.§ (2) bekezdésének c) pontja alapján a Magyar Nemzeti Vagyonkezelő </w:t>
      </w:r>
      <w:proofErr w:type="spellStart"/>
      <w:r>
        <w:rPr>
          <w:rFonts w:ascii="Century Gothic" w:hAnsi="Century Gothic"/>
        </w:rPr>
        <w:t>Zrt-nél</w:t>
      </w:r>
      <w:proofErr w:type="spellEnd"/>
      <w:r>
        <w:rPr>
          <w:rFonts w:ascii="Century Gothic" w:hAnsi="Century Gothic"/>
        </w:rPr>
        <w:t xml:space="preserve"> (a továbbiakban: MNV </w:t>
      </w:r>
      <w:proofErr w:type="spellStart"/>
      <w:r>
        <w:rPr>
          <w:rFonts w:ascii="Century Gothic" w:hAnsi="Century Gothic"/>
        </w:rPr>
        <w:t>Zrt</w:t>
      </w:r>
      <w:proofErr w:type="spellEnd"/>
      <w:r>
        <w:rPr>
          <w:rFonts w:ascii="Century Gothic" w:hAnsi="Century Gothic"/>
        </w:rPr>
        <w:t xml:space="preserve">.) kezdeményezi és kérelmezi a Magyar Állam tulajdonában és az MNV </w:t>
      </w:r>
      <w:proofErr w:type="spellStart"/>
      <w:r>
        <w:rPr>
          <w:rFonts w:ascii="Century Gothic" w:hAnsi="Century Gothic"/>
        </w:rPr>
        <w:t>Zrt</w:t>
      </w:r>
      <w:proofErr w:type="spellEnd"/>
      <w:r>
        <w:rPr>
          <w:rFonts w:ascii="Century Gothic" w:hAnsi="Century Gothic"/>
        </w:rPr>
        <w:t>. vagyonkezelésében lévő:</w:t>
      </w: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1.</w:t>
      </w:r>
      <w:r>
        <w:rPr>
          <w:rFonts w:ascii="Century Gothic" w:hAnsi="Century Gothic"/>
        </w:rPr>
        <w:tab/>
        <w:t>Balatonberény belterü</w:t>
      </w:r>
      <w:r>
        <w:rPr>
          <w:rFonts w:ascii="Century Gothic" w:hAnsi="Century Gothic"/>
        </w:rPr>
        <w:t xml:space="preserve">let </w:t>
      </w:r>
      <w:r>
        <w:rPr>
          <w:rFonts w:ascii="Century Gothic" w:hAnsi="Century Gothic"/>
          <w:b/>
          <w:bCs/>
        </w:rPr>
        <w:t>657/13</w:t>
      </w:r>
      <w:r>
        <w:rPr>
          <w:rFonts w:ascii="Century Gothic" w:hAnsi="Century Gothic"/>
        </w:rPr>
        <w:t xml:space="preserve"> helyrajzi számon nyilvántartott „kivett beépítetlen terület” megnevezésű, 1988 m2 alapterületű, Z-kp-1 besorolású ingatlan. </w:t>
      </w: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2.</w:t>
      </w:r>
      <w:r>
        <w:rPr>
          <w:rFonts w:ascii="Century Gothic" w:hAnsi="Century Gothic"/>
        </w:rPr>
        <w:tab/>
        <w:t xml:space="preserve">Balatonberény belterület </w:t>
      </w:r>
      <w:r>
        <w:rPr>
          <w:rFonts w:ascii="Century Gothic" w:hAnsi="Century Gothic"/>
          <w:b/>
          <w:bCs/>
        </w:rPr>
        <w:t>657/15</w:t>
      </w:r>
      <w:r>
        <w:rPr>
          <w:rFonts w:ascii="Century Gothic" w:hAnsi="Century Gothic"/>
        </w:rPr>
        <w:t xml:space="preserve"> helyrajzi számon nyilvántartott „kivett beépítetlen terület” megnevezésű, 3849 m2 ala</w:t>
      </w:r>
      <w:r>
        <w:rPr>
          <w:rFonts w:ascii="Century Gothic" w:hAnsi="Century Gothic"/>
        </w:rPr>
        <w:t xml:space="preserve">pterületű, Z-kp-1 besorolású ingatlan. </w:t>
      </w: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3.</w:t>
      </w:r>
      <w:r>
        <w:rPr>
          <w:rFonts w:ascii="Century Gothic" w:hAnsi="Century Gothic"/>
        </w:rPr>
        <w:tab/>
        <w:t xml:space="preserve">Balatonberény belterület </w:t>
      </w:r>
      <w:r>
        <w:rPr>
          <w:rFonts w:ascii="Century Gothic" w:hAnsi="Century Gothic"/>
          <w:b/>
          <w:bCs/>
        </w:rPr>
        <w:t>657/37</w:t>
      </w:r>
      <w:r>
        <w:rPr>
          <w:rFonts w:ascii="Century Gothic" w:hAnsi="Century Gothic"/>
        </w:rPr>
        <w:t xml:space="preserve"> helyrajzi számon nyilvántartott „kivett beépítetlen terület” megnevezésű, 855 m2 alapterületű, Z-kp-1 besorolású ingatlan. </w:t>
      </w: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4.</w:t>
      </w:r>
      <w:r>
        <w:rPr>
          <w:rFonts w:ascii="Century Gothic" w:hAnsi="Century Gothic"/>
        </w:rPr>
        <w:tab/>
        <w:t xml:space="preserve">Balatonberény belterület </w:t>
      </w:r>
      <w:r>
        <w:rPr>
          <w:rFonts w:ascii="Century Gothic" w:hAnsi="Century Gothic"/>
          <w:b/>
          <w:bCs/>
        </w:rPr>
        <w:t>657/32</w:t>
      </w:r>
      <w:r>
        <w:rPr>
          <w:rFonts w:ascii="Century Gothic" w:hAnsi="Century Gothic"/>
        </w:rPr>
        <w:t xml:space="preserve"> helyrajzi számon nyilv</w:t>
      </w:r>
      <w:r>
        <w:rPr>
          <w:rFonts w:ascii="Century Gothic" w:hAnsi="Century Gothic"/>
        </w:rPr>
        <w:t xml:space="preserve">ántartott „kivett beépítetlen terület” megnevezésű, 252 m2 alapterületű, Z-kp-1 besorolású ingatlan. </w:t>
      </w: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5.</w:t>
      </w:r>
      <w:r>
        <w:rPr>
          <w:rFonts w:ascii="Century Gothic" w:hAnsi="Century Gothic"/>
        </w:rPr>
        <w:tab/>
        <w:t xml:space="preserve">Balatonberény belterület </w:t>
      </w:r>
      <w:r>
        <w:rPr>
          <w:rFonts w:ascii="Century Gothic" w:hAnsi="Century Gothic"/>
          <w:b/>
          <w:bCs/>
        </w:rPr>
        <w:t>657/33</w:t>
      </w:r>
      <w:r>
        <w:rPr>
          <w:rFonts w:ascii="Century Gothic" w:hAnsi="Century Gothic"/>
        </w:rPr>
        <w:t xml:space="preserve"> helyrajzi számon nyilvántartott „kivett beépítetlen terület” megnevezésű, 337 m2 alapterületű, Z-kp-1 besorolású ingatlan. </w:t>
      </w: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6.</w:t>
      </w:r>
      <w:r>
        <w:rPr>
          <w:rFonts w:ascii="Century Gothic" w:hAnsi="Century Gothic"/>
        </w:rPr>
        <w:tab/>
        <w:t xml:space="preserve">Balatonberény belterület </w:t>
      </w:r>
      <w:r>
        <w:rPr>
          <w:rFonts w:ascii="Century Gothic" w:hAnsi="Century Gothic"/>
          <w:b/>
          <w:bCs/>
        </w:rPr>
        <w:t>02/16</w:t>
      </w:r>
      <w:r>
        <w:rPr>
          <w:rFonts w:ascii="Century Gothic" w:hAnsi="Century Gothic"/>
        </w:rPr>
        <w:t xml:space="preserve"> helyrajzi számon nyilvántartott „kivett strandfürdő” megnevezésű, 2430 m2 alapterületű, </w:t>
      </w:r>
      <w:proofErr w:type="spellStart"/>
      <w:r>
        <w:rPr>
          <w:rFonts w:ascii="Century Gothic" w:hAnsi="Century Gothic"/>
        </w:rPr>
        <w:t>Natura</w:t>
      </w:r>
      <w:proofErr w:type="spellEnd"/>
      <w:r>
        <w:rPr>
          <w:rFonts w:ascii="Century Gothic" w:hAnsi="Century Gothic"/>
        </w:rPr>
        <w:t xml:space="preserve"> 20</w:t>
      </w:r>
      <w:r>
        <w:rPr>
          <w:rFonts w:ascii="Century Gothic" w:hAnsi="Century Gothic"/>
        </w:rPr>
        <w:t xml:space="preserve">00 és K-St-2 besorolású ingatlan. </w:t>
      </w: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7.</w:t>
      </w:r>
      <w:r>
        <w:rPr>
          <w:rFonts w:ascii="Century Gothic" w:hAnsi="Century Gothic"/>
        </w:rPr>
        <w:tab/>
        <w:t xml:space="preserve">Balatonberény belterület </w:t>
      </w:r>
      <w:r>
        <w:rPr>
          <w:rFonts w:ascii="Century Gothic" w:hAnsi="Century Gothic"/>
          <w:b/>
          <w:bCs/>
        </w:rPr>
        <w:t>658/4</w:t>
      </w:r>
      <w:r>
        <w:rPr>
          <w:rFonts w:ascii="Century Gothic" w:hAnsi="Century Gothic"/>
        </w:rPr>
        <w:t xml:space="preserve"> helyrajzi számon nyilvántartott „kivett beépítetlen terület” megnevezésű, 2070 m2 alapterületű, Z-kp-</w:t>
      </w: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8.</w:t>
      </w:r>
      <w:r>
        <w:rPr>
          <w:rFonts w:ascii="Century Gothic" w:hAnsi="Century Gothic"/>
        </w:rPr>
        <w:tab/>
        <w:t xml:space="preserve">Balatonberény belterület </w:t>
      </w:r>
      <w:r>
        <w:rPr>
          <w:rFonts w:ascii="Century Gothic" w:hAnsi="Century Gothic"/>
          <w:b/>
          <w:bCs/>
        </w:rPr>
        <w:t>02/28</w:t>
      </w:r>
      <w:r>
        <w:rPr>
          <w:rFonts w:ascii="Century Gothic" w:hAnsi="Century Gothic"/>
        </w:rPr>
        <w:t xml:space="preserve"> helyrajzi számon nyilvántartott „nádas” megnevezésű</w:t>
      </w:r>
      <w:r>
        <w:rPr>
          <w:rFonts w:ascii="Century Gothic" w:hAnsi="Century Gothic"/>
        </w:rPr>
        <w:t xml:space="preserve">, 424 m2 alapterületű, </w:t>
      </w:r>
      <w:proofErr w:type="spellStart"/>
      <w:r>
        <w:rPr>
          <w:rFonts w:ascii="Century Gothic" w:hAnsi="Century Gothic"/>
        </w:rPr>
        <w:t>Natura</w:t>
      </w:r>
      <w:proofErr w:type="spellEnd"/>
      <w:r>
        <w:rPr>
          <w:rFonts w:ascii="Century Gothic" w:hAnsi="Century Gothic"/>
        </w:rPr>
        <w:t xml:space="preserve"> 2000 és Z-kp-1 besorolású ingatlan. </w:t>
      </w: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9.</w:t>
      </w:r>
      <w:r>
        <w:rPr>
          <w:rFonts w:ascii="Century Gothic" w:hAnsi="Century Gothic"/>
        </w:rPr>
        <w:tab/>
        <w:t xml:space="preserve">Balatonberény belterület </w:t>
      </w:r>
      <w:r>
        <w:rPr>
          <w:rFonts w:ascii="Century Gothic" w:hAnsi="Century Gothic"/>
          <w:b/>
          <w:bCs/>
        </w:rPr>
        <w:t>02/29</w:t>
      </w:r>
      <w:r>
        <w:rPr>
          <w:rFonts w:ascii="Century Gothic" w:hAnsi="Century Gothic"/>
        </w:rPr>
        <w:t xml:space="preserve"> helyrajzi számon nyilvántartott „nádas” megnevezésű, 478 m2 alapterületű, </w:t>
      </w:r>
      <w:proofErr w:type="spellStart"/>
      <w:r>
        <w:rPr>
          <w:rFonts w:ascii="Century Gothic" w:hAnsi="Century Gothic"/>
        </w:rPr>
        <w:t>Natura</w:t>
      </w:r>
      <w:proofErr w:type="spellEnd"/>
      <w:r>
        <w:rPr>
          <w:rFonts w:ascii="Century Gothic" w:hAnsi="Century Gothic"/>
        </w:rPr>
        <w:t xml:space="preserve"> 2000 és Z-kp-1 besorolású ingatlan 1/1 tulajdoni hányadának ingyenes önkor</w:t>
      </w:r>
      <w:r>
        <w:rPr>
          <w:rFonts w:ascii="Century Gothic" w:hAnsi="Century Gothic"/>
        </w:rPr>
        <w:t>mányzati tulajdonba adását.</w:t>
      </w: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b) Fenti ingatlanokat az Önkormányzat a Magyarország helyi önkormányzatairól szóló 2011. CLXXXXIX. törvény 13.§ (1) bekezdés 1</w:t>
      </w:r>
      <w:proofErr w:type="gramStart"/>
      <w:r>
        <w:rPr>
          <w:rFonts w:ascii="Century Gothic" w:hAnsi="Century Gothic"/>
        </w:rPr>
        <w:t>.,</w:t>
      </w:r>
      <w:proofErr w:type="gramEnd"/>
      <w:r>
        <w:rPr>
          <w:rFonts w:ascii="Century Gothic" w:hAnsi="Century Gothic"/>
        </w:rPr>
        <w:t>2. és 15. pontjában meghatározott településfejlesztés, településrendezés, településüzemeltetés fela</w:t>
      </w:r>
      <w:r>
        <w:rPr>
          <w:rFonts w:ascii="Century Gothic" w:hAnsi="Century Gothic"/>
        </w:rPr>
        <w:t>datainak, sport és ifjúsági ügyeinek ellátása  érdekében kívánja tulajdonba venni, ennek keretében a rendezési terv végrehajtása érdekében Balaton parti közcélú zöldterület (közpark, sétány) és strand kialakítása és fenntartása céljára kívánja felhasználni</w:t>
      </w:r>
      <w:r>
        <w:rPr>
          <w:rFonts w:ascii="Century Gothic" w:hAnsi="Century Gothic"/>
        </w:rPr>
        <w:t>.</w:t>
      </w: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c) </w:t>
      </w:r>
      <w:proofErr w:type="gramStart"/>
      <w:r>
        <w:rPr>
          <w:rFonts w:ascii="Century Gothic" w:hAnsi="Century Gothic"/>
        </w:rPr>
        <w:t>A</w:t>
      </w:r>
      <w:proofErr w:type="gramEnd"/>
      <w:r>
        <w:rPr>
          <w:rFonts w:ascii="Century Gothic" w:hAnsi="Century Gothic"/>
        </w:rPr>
        <w:t xml:space="preserve"> Képviselő-testület vállalja a tulajdonba adás érdekében felmerülő valamennyi költség –ideértve a művelési ág szükséges megváltoztatásának költségét is- megtérítését.</w:t>
      </w: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d) </w:t>
      </w:r>
      <w:proofErr w:type="gramStart"/>
      <w:r>
        <w:rPr>
          <w:rFonts w:ascii="Century Gothic" w:hAnsi="Century Gothic"/>
        </w:rPr>
        <w:t>A</w:t>
      </w:r>
      <w:proofErr w:type="gramEnd"/>
      <w:r>
        <w:rPr>
          <w:rFonts w:ascii="Century Gothic" w:hAnsi="Century Gothic"/>
        </w:rPr>
        <w:t xml:space="preserve"> Balatonberény 02/16, 02/28, 02/29 </w:t>
      </w:r>
      <w:proofErr w:type="spellStart"/>
      <w:r>
        <w:rPr>
          <w:rFonts w:ascii="Century Gothic" w:hAnsi="Century Gothic"/>
        </w:rPr>
        <w:t>hrsz</w:t>
      </w:r>
      <w:proofErr w:type="spellEnd"/>
      <w:r>
        <w:rPr>
          <w:rFonts w:ascii="Century Gothic" w:hAnsi="Century Gothic"/>
        </w:rPr>
        <w:t xml:space="preserve">-ú igényelt ingatlanok </w:t>
      </w:r>
      <w:proofErr w:type="spellStart"/>
      <w:r>
        <w:rPr>
          <w:rFonts w:ascii="Century Gothic" w:hAnsi="Century Gothic"/>
        </w:rPr>
        <w:t>Natura</w:t>
      </w:r>
      <w:proofErr w:type="spellEnd"/>
      <w:r>
        <w:rPr>
          <w:rFonts w:ascii="Century Gothic" w:hAnsi="Century Gothic"/>
        </w:rPr>
        <w:t xml:space="preserve"> 2000 véd</w:t>
      </w:r>
      <w:r>
        <w:rPr>
          <w:rFonts w:ascii="Century Gothic" w:hAnsi="Century Gothic"/>
        </w:rPr>
        <w:t>ettség alatt állnak, ezért a Képviselő-testület vállalja a védettség okán felmerülő kötelezettségeket is.</w:t>
      </w: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DD3DCB">
      <w:pPr>
        <w:jc w:val="both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lastRenderedPageBreak/>
        <w:t>e</w:t>
      </w:r>
      <w:proofErr w:type="gramEnd"/>
      <w:r>
        <w:rPr>
          <w:rFonts w:ascii="Century Gothic" w:hAnsi="Century Gothic"/>
        </w:rPr>
        <w:t>) A Képviselő-testület felhatalmazza a polgármestert, hogy az a) pontban felsorolt ingatlanok ingyenes önkormányzati tulajdonba adásával kapcsolatos</w:t>
      </w:r>
      <w:r>
        <w:rPr>
          <w:rFonts w:ascii="Century Gothic" w:hAnsi="Century Gothic"/>
        </w:rPr>
        <w:t xml:space="preserve"> eljárásban az MNV </w:t>
      </w:r>
      <w:proofErr w:type="spellStart"/>
      <w:r>
        <w:rPr>
          <w:rFonts w:ascii="Century Gothic" w:hAnsi="Century Gothic"/>
        </w:rPr>
        <w:t>Zrt</w:t>
      </w:r>
      <w:proofErr w:type="spellEnd"/>
      <w:r>
        <w:rPr>
          <w:rFonts w:ascii="Century Gothic" w:hAnsi="Century Gothic"/>
        </w:rPr>
        <w:t>. felé teljes jogkörben eljárjon, valamennyi szükséges nyilatkozatot megtegyen, és az ingyenes önkormányzati tulajdonba adására vonatkozó megállapodást aláírja.</w:t>
      </w: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DD3DCB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Balatonberény, 2023. augusztus 3.</w:t>
      </w: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DD3DCB">
      <w:pPr>
        <w:jc w:val="right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Druskoczi</w:t>
      </w:r>
      <w:proofErr w:type="spellEnd"/>
      <w:r>
        <w:rPr>
          <w:rFonts w:ascii="Century Gothic" w:hAnsi="Century Gothic"/>
        </w:rPr>
        <w:t xml:space="preserve"> Tünde </w:t>
      </w:r>
      <w:proofErr w:type="spellStart"/>
      <w:r>
        <w:rPr>
          <w:rFonts w:ascii="Century Gothic" w:hAnsi="Century Gothic"/>
        </w:rPr>
        <w:t>sk</w:t>
      </w:r>
      <w:proofErr w:type="spellEnd"/>
      <w:r>
        <w:rPr>
          <w:rFonts w:ascii="Century Gothic" w:hAnsi="Century Gothic"/>
        </w:rPr>
        <w:t>.</w:t>
      </w:r>
    </w:p>
    <w:p w:rsidR="00F94905" w:rsidRDefault="00DD3DCB">
      <w:pPr>
        <w:jc w:val="right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polgármester</w:t>
      </w:r>
      <w:proofErr w:type="gramEnd"/>
    </w:p>
    <w:p w:rsidR="00F94905" w:rsidRDefault="00F94905">
      <w:pPr>
        <w:jc w:val="both"/>
        <w:rPr>
          <w:rFonts w:ascii="Century Gothic" w:hAnsi="Century Gothic"/>
        </w:rPr>
      </w:pPr>
    </w:p>
    <w:p w:rsidR="00F94905" w:rsidRDefault="00F94905">
      <w:pPr>
        <w:jc w:val="both"/>
        <w:rPr>
          <w:rFonts w:ascii="Century Gothic" w:hAnsi="Century Gothic"/>
        </w:rPr>
      </w:pPr>
    </w:p>
    <w:sectPr w:rsidR="00F94905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DCB" w:rsidRDefault="00DD3DCB">
      <w:r>
        <w:separator/>
      </w:r>
    </w:p>
  </w:endnote>
  <w:endnote w:type="continuationSeparator" w:id="0">
    <w:p w:rsidR="00DD3DCB" w:rsidRDefault="00DD3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DCB" w:rsidRDefault="00DD3DCB">
      <w:r>
        <w:separator/>
      </w:r>
    </w:p>
  </w:footnote>
  <w:footnote w:type="continuationSeparator" w:id="0">
    <w:p w:rsidR="00DD3DCB" w:rsidRDefault="00DD3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6374595"/>
      <w:docPartObj>
        <w:docPartGallery w:val="Page Numbers (Top of Page)"/>
        <w:docPartUnique/>
      </w:docPartObj>
    </w:sdtPr>
    <w:sdtEndPr/>
    <w:sdtContent>
      <w:p w:rsidR="00F94905" w:rsidRDefault="00DD3DCB">
        <w:pPr>
          <w:pStyle w:val="lfej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166D07">
          <w:rPr>
            <w:noProof/>
          </w:rPr>
          <w:t>5</w:t>
        </w:r>
        <w:r>
          <w:fldChar w:fldCharType="end"/>
        </w:r>
      </w:p>
    </w:sdtContent>
  </w:sdt>
  <w:p w:rsidR="00F94905" w:rsidRDefault="00F9490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031D0"/>
    <w:multiLevelType w:val="multilevel"/>
    <w:tmpl w:val="7D8CD5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28570E"/>
    <w:multiLevelType w:val="multilevel"/>
    <w:tmpl w:val="03DEA6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05"/>
    <w:rsid w:val="00166D07"/>
    <w:rsid w:val="00BB1E9E"/>
    <w:rsid w:val="00DD3DCB"/>
    <w:rsid w:val="00F9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0D242"/>
  <w15:docId w15:val="{6A1B6359-B738-413F-B94A-5F15CAF4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979A2"/>
    <w:rPr>
      <w:rFonts w:ascii="Calibri" w:eastAsia="Calibri" w:hAnsi="Calibri" w:cs="Calibri"/>
      <w:kern w:val="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link w:val="lfej"/>
    <w:uiPriority w:val="99"/>
    <w:qFormat/>
    <w:rsid w:val="00C172E0"/>
    <w:rPr>
      <w:rFonts w:ascii="Calibri" w:hAnsi="Calibri" w:cs="Calibri"/>
      <w:kern w:val="0"/>
      <w:lang w:eastAsia="hu-HU"/>
      <w14:ligatures w14:val="none"/>
    </w:rPr>
  </w:style>
  <w:style w:type="character" w:customStyle="1" w:styleId="llbChar">
    <w:name w:val="Élőláb Char"/>
    <w:basedOn w:val="Bekezdsalapbettpusa"/>
    <w:link w:val="llb"/>
    <w:uiPriority w:val="99"/>
    <w:qFormat/>
    <w:rsid w:val="00C172E0"/>
    <w:rPr>
      <w:rFonts w:ascii="Calibri" w:hAnsi="Calibri" w:cs="Calibri"/>
      <w:kern w:val="0"/>
      <w:lang w:eastAsia="hu-HU"/>
      <w14:ligatures w14:val="none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uiPriority w:val="34"/>
    <w:qFormat/>
    <w:rsid w:val="006979A2"/>
    <w:pPr>
      <w:ind w:left="720"/>
      <w:contextualSpacing/>
    </w:pPr>
  </w:style>
  <w:style w:type="paragraph" w:customStyle="1" w:styleId="lfejsllb">
    <w:name w:val="Élőfej és élőláb"/>
    <w:basedOn w:val="Norml"/>
    <w:qFormat/>
  </w:style>
  <w:style w:type="paragraph" w:styleId="lfej">
    <w:name w:val="header"/>
    <w:basedOn w:val="Norml"/>
    <w:link w:val="lfejChar"/>
    <w:uiPriority w:val="99"/>
    <w:unhideWhenUsed/>
    <w:rsid w:val="00C172E0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unhideWhenUsed/>
    <w:rsid w:val="00C172E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1155</Words>
  <Characters>7974</Characters>
  <Application>Microsoft Office Word</Application>
  <DocSecurity>0</DocSecurity>
  <Lines>66</Lines>
  <Paragraphs>18</Paragraphs>
  <ScaleCrop>false</ScaleCrop>
  <Company/>
  <LinksUpToDate>false</LinksUpToDate>
  <CharactersWithSpaces>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18</cp:revision>
  <dcterms:created xsi:type="dcterms:W3CDTF">2023-07-31T07:26:00Z</dcterms:created>
  <dcterms:modified xsi:type="dcterms:W3CDTF">2023-08-04T08:48:00Z</dcterms:modified>
  <dc:language>hu-HU</dc:language>
</cp:coreProperties>
</file>