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01F" w:rsidRDefault="0046701F" w:rsidP="009F3414">
      <w:pPr>
        <w:pStyle w:val="FCm"/>
        <w:keepNext w:val="0"/>
        <w:keepLines w:val="0"/>
        <w:shd w:val="clear" w:color="auto" w:fill="FFFFFF"/>
        <w:spacing w:before="0" w:after="0"/>
        <w:jc w:val="both"/>
        <w:rPr>
          <w:rFonts w:ascii="Cambria" w:eastAsia="Times New Roman" w:hAnsi="Cambria"/>
          <w:caps/>
          <w:sz w:val="32"/>
          <w:szCs w:val="32"/>
        </w:rPr>
      </w:pPr>
    </w:p>
    <w:p w:rsidR="0046701F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:rsidR="00990013" w:rsidRDefault="00990013" w:rsidP="006A547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46701F" w:rsidRPr="00C94449" w:rsidRDefault="0046701F" w:rsidP="006A547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46701F" w:rsidRPr="00C94449" w:rsidRDefault="0046701F" w:rsidP="006A547F">
      <w:pPr>
        <w:jc w:val="center"/>
        <w:rPr>
          <w:rFonts w:ascii="Century Gothic" w:hAnsi="Century Gothic"/>
        </w:rPr>
      </w:pPr>
    </w:p>
    <w:p w:rsidR="0046701F" w:rsidRPr="00C94449" w:rsidRDefault="0046701F" w:rsidP="006A547F">
      <w:pPr>
        <w:jc w:val="center"/>
        <w:rPr>
          <w:rFonts w:ascii="Century Gothic" w:hAnsi="Century Gothic"/>
        </w:rPr>
      </w:pPr>
    </w:p>
    <w:p w:rsidR="0046701F" w:rsidRDefault="00990013" w:rsidP="006A547F">
      <w:pPr>
        <w:jc w:val="center"/>
        <w:rPr>
          <w:rFonts w:ascii="Century Gothic" w:eastAsia="Arial Unicode MS" w:hAnsi="Century Gothic"/>
          <w:sz w:val="44"/>
          <w:szCs w:val="44"/>
        </w:rPr>
      </w:pPr>
      <w:r w:rsidRPr="003D4DA2">
        <w:rPr>
          <w:rFonts w:ascii="Cambria" w:hAnsi="Cambria"/>
          <w:noProof/>
        </w:rPr>
        <w:drawing>
          <wp:inline distT="0" distB="0" distL="0" distR="0" wp14:anchorId="6E92B485" wp14:editId="0D2450E0">
            <wp:extent cx="1095375" cy="1257300"/>
            <wp:effectExtent l="0" t="0" r="9525" b="0"/>
            <wp:docPr id="2" name="Kép 2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013" w:rsidRPr="00C94449" w:rsidRDefault="00990013" w:rsidP="006A547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46701F" w:rsidRPr="003103C9" w:rsidRDefault="00990013" w:rsidP="006A547F">
      <w:pPr>
        <w:jc w:val="center"/>
        <w:rPr>
          <w:rFonts w:ascii="Cambria" w:eastAsia="Arial Unicode MS" w:hAnsi="Cambria"/>
          <w:sz w:val="36"/>
          <w:szCs w:val="36"/>
        </w:rPr>
      </w:pPr>
      <w:proofErr w:type="gramStart"/>
      <w:r>
        <w:rPr>
          <w:rFonts w:ascii="Cambria" w:eastAsia="Arial Unicode MS" w:hAnsi="Cambria"/>
          <w:sz w:val="36"/>
          <w:szCs w:val="36"/>
        </w:rPr>
        <w:t xml:space="preserve">BALATONBERÉNY </w:t>
      </w:r>
      <w:r w:rsidR="0046701F" w:rsidRPr="003103C9">
        <w:rPr>
          <w:rFonts w:ascii="Cambria" w:eastAsia="Arial Unicode MS" w:hAnsi="Cambria"/>
          <w:sz w:val="36"/>
          <w:szCs w:val="36"/>
        </w:rPr>
        <w:t xml:space="preserve"> KÖZSÉG</w:t>
      </w:r>
      <w:proofErr w:type="gramEnd"/>
      <w:r w:rsidR="0046701F" w:rsidRPr="003103C9">
        <w:rPr>
          <w:rFonts w:ascii="Cambria" w:eastAsia="Arial Unicode MS" w:hAnsi="Cambria"/>
          <w:sz w:val="36"/>
          <w:szCs w:val="36"/>
        </w:rPr>
        <w:t xml:space="preserve"> ÖNKORMÁNYZATI KÉPVISELŐ-TESTÜLETÉNEK</w:t>
      </w:r>
    </w:p>
    <w:p w:rsidR="0046701F" w:rsidRPr="003103C9" w:rsidRDefault="0046701F" w:rsidP="006A547F">
      <w:pPr>
        <w:jc w:val="center"/>
        <w:rPr>
          <w:rFonts w:ascii="Cambria" w:eastAsia="Arial Unicode MS" w:hAnsi="Cambria"/>
          <w:sz w:val="36"/>
          <w:szCs w:val="36"/>
        </w:rPr>
      </w:pPr>
    </w:p>
    <w:p w:rsidR="0046701F" w:rsidRPr="003103C9" w:rsidRDefault="0046701F" w:rsidP="006A547F">
      <w:pPr>
        <w:jc w:val="center"/>
        <w:rPr>
          <w:rFonts w:ascii="Cambria" w:eastAsia="Arial Unicode MS" w:hAnsi="Cambria"/>
          <w:b/>
          <w:sz w:val="36"/>
          <w:szCs w:val="36"/>
        </w:rPr>
      </w:pPr>
      <w:proofErr w:type="gramStart"/>
      <w:r>
        <w:rPr>
          <w:rFonts w:ascii="Cambria" w:eastAsia="Arial Unicode MS" w:hAnsi="Cambria"/>
          <w:b/>
          <w:sz w:val="36"/>
          <w:szCs w:val="36"/>
        </w:rPr>
        <w:t>2023</w:t>
      </w:r>
      <w:r w:rsidRPr="003103C9">
        <w:rPr>
          <w:rFonts w:ascii="Cambria" w:eastAsia="Arial Unicode MS" w:hAnsi="Cambria"/>
          <w:b/>
          <w:sz w:val="36"/>
          <w:szCs w:val="36"/>
        </w:rPr>
        <w:t xml:space="preserve">. </w:t>
      </w:r>
      <w:r w:rsidR="006E2F16">
        <w:rPr>
          <w:rFonts w:ascii="Cambria" w:eastAsia="Arial Unicode MS" w:hAnsi="Cambria"/>
          <w:b/>
          <w:sz w:val="36"/>
          <w:szCs w:val="36"/>
        </w:rPr>
        <w:t xml:space="preserve"> </w:t>
      </w:r>
      <w:proofErr w:type="gramEnd"/>
      <w:r w:rsidR="006E2F16">
        <w:rPr>
          <w:rFonts w:ascii="Cambria" w:eastAsia="Arial Unicode MS" w:hAnsi="Cambria"/>
          <w:b/>
          <w:sz w:val="36"/>
          <w:szCs w:val="36"/>
        </w:rPr>
        <w:t>április 4</w:t>
      </w:r>
      <w:bookmarkStart w:id="0" w:name="_GoBack"/>
      <w:bookmarkEnd w:id="0"/>
      <w:r w:rsidR="00571FAE">
        <w:rPr>
          <w:rFonts w:ascii="Cambria" w:eastAsia="Arial Unicode MS" w:hAnsi="Cambria"/>
          <w:b/>
          <w:sz w:val="36"/>
          <w:szCs w:val="36"/>
        </w:rPr>
        <w:t>-</w:t>
      </w:r>
      <w:r>
        <w:rPr>
          <w:rFonts w:ascii="Cambria" w:eastAsia="Arial Unicode MS" w:hAnsi="Cambria"/>
          <w:b/>
          <w:sz w:val="36"/>
          <w:szCs w:val="36"/>
        </w:rPr>
        <w:t xml:space="preserve">i </w:t>
      </w:r>
    </w:p>
    <w:p w:rsidR="0046701F" w:rsidRPr="003103C9" w:rsidRDefault="0046701F" w:rsidP="006A547F">
      <w:pPr>
        <w:jc w:val="center"/>
        <w:rPr>
          <w:rFonts w:ascii="Cambria" w:eastAsia="Arial Unicode MS" w:hAnsi="Cambria"/>
          <w:b/>
          <w:sz w:val="36"/>
          <w:szCs w:val="36"/>
        </w:rPr>
      </w:pPr>
      <w:proofErr w:type="gramStart"/>
      <w:r w:rsidRPr="003103C9">
        <w:rPr>
          <w:rFonts w:ascii="Cambria" w:eastAsia="Arial Unicode MS" w:hAnsi="Cambria"/>
          <w:b/>
          <w:sz w:val="36"/>
          <w:szCs w:val="36"/>
        </w:rPr>
        <w:t>nyilvános</w:t>
      </w:r>
      <w:proofErr w:type="gramEnd"/>
      <w:r w:rsidRPr="003103C9">
        <w:rPr>
          <w:rFonts w:ascii="Cambria" w:eastAsia="Arial Unicode MS" w:hAnsi="Cambria"/>
          <w:b/>
          <w:sz w:val="36"/>
          <w:szCs w:val="36"/>
        </w:rPr>
        <w:t xml:space="preserve"> ülésére </w:t>
      </w:r>
    </w:p>
    <w:p w:rsidR="0046701F" w:rsidRPr="003103C9" w:rsidRDefault="0046701F" w:rsidP="006A547F">
      <w:pPr>
        <w:jc w:val="center"/>
        <w:rPr>
          <w:rFonts w:ascii="Cambria" w:eastAsia="Arial Unicode MS" w:hAnsi="Cambria"/>
          <w:b/>
          <w:sz w:val="36"/>
          <w:szCs w:val="36"/>
        </w:rPr>
      </w:pPr>
    </w:p>
    <w:p w:rsidR="0046701F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266D3C">
        <w:rPr>
          <w:rFonts w:ascii="Cambria" w:eastAsia="Times New Roman" w:hAnsi="Cambria"/>
          <w:caps/>
          <w:sz w:val="32"/>
          <w:szCs w:val="32"/>
        </w:rPr>
        <w:t>TÁRGY:</w:t>
      </w:r>
    </w:p>
    <w:p w:rsidR="0046701F" w:rsidRDefault="0046701F" w:rsidP="006A547F">
      <w:pPr>
        <w:pStyle w:val="FCm"/>
        <w:keepNext w:val="0"/>
        <w:keepLines w:val="0"/>
        <w:shd w:val="clear" w:color="auto" w:fill="FFFFFF"/>
        <w:spacing w:before="0" w:after="0"/>
        <w:jc w:val="left"/>
        <w:rPr>
          <w:rFonts w:ascii="Cambria" w:eastAsia="Times New Roman" w:hAnsi="Cambria"/>
          <w:caps/>
          <w:sz w:val="32"/>
          <w:szCs w:val="32"/>
        </w:rPr>
      </w:pPr>
    </w:p>
    <w:p w:rsidR="0046701F" w:rsidRPr="00F10D19" w:rsidRDefault="0046701F" w:rsidP="006A547F">
      <w:pPr>
        <w:jc w:val="center"/>
        <w:outlineLvl w:val="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  <w:r w:rsidRPr="00F10D19">
        <w:rPr>
          <w:b/>
          <w:bCs/>
          <w:sz w:val="36"/>
          <w:szCs w:val="36"/>
        </w:rPr>
        <w:t xml:space="preserve"> közterületek elnevezéséről és a házszámozás szabályairól</w:t>
      </w:r>
      <w:r>
        <w:rPr>
          <w:b/>
          <w:bCs/>
          <w:sz w:val="36"/>
          <w:szCs w:val="36"/>
        </w:rPr>
        <w:t xml:space="preserve"> szóló önkormányzati rendelet felülvizsgálata</w:t>
      </w: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jc w:val="left"/>
        <w:rPr>
          <w:rFonts w:ascii="Cambria" w:eastAsia="Times New Roman" w:hAnsi="Cambria"/>
          <w:caps/>
          <w:sz w:val="32"/>
          <w:szCs w:val="32"/>
        </w:rPr>
      </w:pP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jc w:val="left"/>
        <w:rPr>
          <w:rFonts w:ascii="Cambria" w:eastAsia="Times New Roman" w:hAnsi="Cambria"/>
          <w:caps/>
          <w:sz w:val="32"/>
          <w:szCs w:val="32"/>
        </w:rPr>
      </w:pPr>
    </w:p>
    <w:p w:rsidR="0046701F" w:rsidRPr="00266D3C" w:rsidRDefault="0046701F" w:rsidP="006A547F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32"/>
          <w:szCs w:val="32"/>
        </w:rPr>
      </w:pPr>
      <w:r w:rsidRPr="00266D3C">
        <w:rPr>
          <w:rFonts w:ascii="Cambria" w:eastAsia="Times New Roman" w:hAnsi="Cambria"/>
          <w:caps/>
          <w:sz w:val="32"/>
          <w:szCs w:val="32"/>
        </w:rPr>
        <w:t>ELŐADÓ:</w:t>
      </w:r>
    </w:p>
    <w:p w:rsidR="0046701F" w:rsidRDefault="0046701F" w:rsidP="006A547F">
      <w:pPr>
        <w:shd w:val="clear" w:color="auto" w:fill="FFFFFF"/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MESTYÁN VALÉRIA</w:t>
      </w:r>
    </w:p>
    <w:p w:rsidR="0046701F" w:rsidRPr="00266D3C" w:rsidRDefault="0046701F" w:rsidP="006A547F">
      <w:pPr>
        <w:shd w:val="clear" w:color="auto" w:fill="FFFFFF"/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CÍMEZTES FŐJEGYZŐ</w:t>
      </w: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6A547F" w:rsidRDefault="006A547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6A547F" w:rsidRDefault="006A547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6A547F" w:rsidRDefault="006A547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6A547F" w:rsidRDefault="006A547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sz w:val="22"/>
          <w:szCs w:val="22"/>
        </w:rPr>
        <w:t>Tisztelt Képviselő-testület!</w:t>
      </w: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A Somogy Vármegyei Kormányhivatal a megye önkormányzatainak közterületek elnevezésének szabályairól, az elnevezésük megváltoztatására irányuló kezdeményezés, a házszám-megállapítás szabályairól szóló önkormányzati rendeletek felülvizsgálatát követően azok felülvizsgálatát kérte. </w:t>
      </w: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proofErr w:type="gramStart"/>
      <w:r w:rsidRPr="00023BD2">
        <w:rPr>
          <w:rFonts w:asciiTheme="majorHAnsi" w:hAnsiTheme="majorHAnsi" w:cstheme="majorHAnsi"/>
          <w:b w:val="0"/>
          <w:sz w:val="22"/>
          <w:szCs w:val="22"/>
        </w:rPr>
        <w:t>Balaton</w:t>
      </w:r>
      <w:r w:rsidR="00990013">
        <w:rPr>
          <w:rFonts w:asciiTheme="majorHAnsi" w:hAnsiTheme="majorHAnsi" w:cstheme="majorHAnsi"/>
          <w:b w:val="0"/>
          <w:sz w:val="22"/>
          <w:szCs w:val="22"/>
        </w:rPr>
        <w:t>berény</w:t>
      </w:r>
      <w:r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 Önkormányzata</w:t>
      </w:r>
      <w:proofErr w:type="gramEnd"/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ajorHAnsi"/>
          <w:b w:val="0"/>
          <w:sz w:val="22"/>
          <w:szCs w:val="22"/>
        </w:rPr>
        <w:t xml:space="preserve">e tárgykörben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2014. évben </w:t>
      </w:r>
      <w:r>
        <w:rPr>
          <w:rFonts w:asciiTheme="majorHAnsi" w:hAnsiTheme="majorHAnsi" w:cstheme="majorHAnsi"/>
          <w:b w:val="0"/>
          <w:sz w:val="22"/>
          <w:szCs w:val="22"/>
        </w:rPr>
        <w:t xml:space="preserve"> alkotta meg </w:t>
      </w:r>
      <w:r w:rsidR="00990013">
        <w:rPr>
          <w:rFonts w:asciiTheme="majorHAnsi" w:hAnsiTheme="majorHAnsi" w:cstheme="majorHAnsi"/>
          <w:b w:val="0"/>
          <w:bCs/>
          <w:sz w:val="22"/>
          <w:szCs w:val="22"/>
        </w:rPr>
        <w:t>10/2014.(VIII.29</w:t>
      </w:r>
      <w:r w:rsidRPr="00F10D19">
        <w:rPr>
          <w:rFonts w:asciiTheme="majorHAnsi" w:hAnsiTheme="majorHAnsi" w:cstheme="majorHAnsi"/>
          <w:b w:val="0"/>
          <w:bCs/>
          <w:sz w:val="22"/>
          <w:szCs w:val="22"/>
        </w:rPr>
        <w:t>.)</w:t>
      </w:r>
      <w:r>
        <w:rPr>
          <w:rFonts w:asciiTheme="majorHAnsi" w:hAnsiTheme="majorHAnsi" w:cstheme="majorHAnsi"/>
          <w:b w:val="0"/>
          <w:bCs/>
          <w:sz w:val="22"/>
          <w:szCs w:val="22"/>
        </w:rPr>
        <w:t xml:space="preserve"> önkormányzati rendeletét. </w:t>
      </w: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rendeletekkel kapcsolatos általános megállapítások: </w:t>
      </w:r>
    </w:p>
    <w:p w:rsidR="0046701F" w:rsidRPr="00023BD2" w:rsidRDefault="0046701F" w:rsidP="006A547F">
      <w:pPr>
        <w:pStyle w:val="Cm"/>
        <w:numPr>
          <w:ilvl w:val="0"/>
          <w:numId w:val="1"/>
        </w:numPr>
        <w:tabs>
          <w:tab w:val="left" w:pos="0"/>
        </w:tabs>
        <w:ind w:left="0"/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rendelet már nem felel meg a jogszabályszerkesztésről szóló 61/2009.(XII.14.) IRM rendeletnek.</w:t>
      </w:r>
    </w:p>
    <w:p w:rsidR="0046701F" w:rsidRPr="00023BD2" w:rsidRDefault="0046701F" w:rsidP="006A547F">
      <w:pPr>
        <w:pStyle w:val="Cm"/>
        <w:numPr>
          <w:ilvl w:val="0"/>
          <w:numId w:val="1"/>
        </w:numPr>
        <w:tabs>
          <w:tab w:val="left" w:pos="0"/>
        </w:tabs>
        <w:ind w:left="0"/>
        <w:jc w:val="both"/>
        <w:outlineLvl w:val="0"/>
        <w:rPr>
          <w:rFonts w:asciiTheme="majorHAnsi" w:hAnsiTheme="majorHAnsi" w:cstheme="majorHAnsi"/>
          <w:b w:val="0"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jogalkotásra felhatalmazó rendelkezés is változott.</w:t>
      </w:r>
    </w:p>
    <w:p w:rsidR="0046701F" w:rsidRPr="00023BD2" w:rsidRDefault="0046701F" w:rsidP="006A547F">
      <w:pPr>
        <w:pStyle w:val="Cm"/>
        <w:numPr>
          <w:ilvl w:val="0"/>
          <w:numId w:val="1"/>
        </w:numPr>
        <w:tabs>
          <w:tab w:val="left" w:pos="0"/>
        </w:tabs>
        <w:ind w:left="0"/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rendelet megalkotásánál figyelemmel kell lenni a magasabb szintű jogszabályi rendelkezésekre, azokkal nem lehet ellentétes</w:t>
      </w:r>
      <w:proofErr w:type="gramStart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,  illetve</w:t>
      </w:r>
      <w:proofErr w:type="gramEnd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azok rendelkezéseit nem ismételheti meg, nem terjeszkedhet túl a szabályozás a felhatalmazáson túl.  </w:t>
      </w: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A következő jogszabályokat kell figyelembe venni például: épített környezet alakításáról és védelméről szóló 1997. évi LXXVIII. törvény, a magyarországi hivatalos földrajzi nevek megállapításáról és a nyilvántartásáról szóló 303/2007.(XI.14.) Korm.rendelet, a központi címregiszterről és a címkezelésről szóló 345/20214.(XII.23.) Korm. rendelet.</w:t>
      </w: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:rsidR="0046701F" w:rsidRPr="00023BD2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i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Az önkormányzat számára e tárgykörben a Magyarország helyi önkormányzatairól szóló 2011. évi CLXXXIX. törvény (továbbiakban: </w:t>
      </w:r>
      <w:proofErr w:type="spellStart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Mötv</w:t>
      </w:r>
      <w:proofErr w:type="spellEnd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.) 143.§ (3) </w:t>
      </w:r>
      <w:proofErr w:type="gramStart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>bekezdése  ad</w:t>
      </w:r>
      <w:proofErr w:type="gramEnd"/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 felhatalmazást: </w:t>
      </w:r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„ Felhatalmazást kap a települési, a fővárosban a fővárosi önkormányzat, hogy rendeletben állapítsa meg a közterületek elnevezésének, valamint az elnevezésük megváltoztatására irányuló kezdeményezés és a házszám-megállapítás szabályait.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>”</w:t>
      </w:r>
      <w:r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és az </w:t>
      </w:r>
      <w:proofErr w:type="spellStart"/>
      <w:r w:rsidRPr="00023BD2">
        <w:rPr>
          <w:rFonts w:asciiTheme="majorHAnsi" w:hAnsiTheme="majorHAnsi" w:cstheme="majorHAnsi"/>
          <w:b w:val="0"/>
          <w:sz w:val="22"/>
          <w:szCs w:val="22"/>
        </w:rPr>
        <w:t>Mötv</w:t>
      </w:r>
      <w:proofErr w:type="spellEnd"/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. 13.§(1) bekezdés 3. pontjában meghatározott feladatkörében jár </w:t>
      </w:r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el: „</w:t>
      </w:r>
      <w:proofErr w:type="gramStart"/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>A</w:t>
      </w:r>
      <w:proofErr w:type="gramEnd"/>
      <w:r w:rsidRPr="00023BD2">
        <w:rPr>
          <w:rFonts w:asciiTheme="majorHAnsi" w:hAnsiTheme="majorHAnsi" w:cstheme="majorHAnsi"/>
          <w:b w:val="0"/>
          <w:i/>
          <w:sz w:val="22"/>
          <w:szCs w:val="22"/>
        </w:rPr>
        <w:t xml:space="preserve"> helyi közügyek, valamint a helyben biztosítható közfeladatok körében ellátandó helyi önkormányzati feladatok különösen: a közterületek, valamint az önkormányzat tulajdonában álló közintézmény elnevezése;”</w:t>
      </w:r>
      <w:r>
        <w:rPr>
          <w:rFonts w:asciiTheme="majorHAnsi" w:hAnsiTheme="majorHAnsi" w:cstheme="majorHAnsi"/>
          <w:b w:val="0"/>
          <w:i/>
          <w:sz w:val="22"/>
          <w:szCs w:val="22"/>
        </w:rPr>
        <w:t xml:space="preserve"> </w:t>
      </w:r>
      <w:r w:rsidRPr="00023BD2">
        <w:rPr>
          <w:rFonts w:asciiTheme="majorHAnsi" w:hAnsiTheme="majorHAnsi" w:cstheme="majorHAnsi"/>
          <w:b w:val="0"/>
          <w:sz w:val="22"/>
          <w:szCs w:val="22"/>
        </w:rPr>
        <w:t xml:space="preserve">továbbá át nem ruházható hatásköre a képviselő-testületnek. </w:t>
      </w:r>
    </w:p>
    <w:p w:rsidR="0046701F" w:rsidRDefault="0046701F" w:rsidP="006A547F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46701F" w:rsidRDefault="0046701F" w:rsidP="006A547F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46701F" w:rsidRDefault="0046701F" w:rsidP="006A547F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Az </w:t>
      </w:r>
      <w:proofErr w:type="spellStart"/>
      <w:r>
        <w:rPr>
          <w:rFonts w:asciiTheme="majorHAnsi" w:hAnsiTheme="majorHAnsi" w:cstheme="majorHAnsi"/>
          <w:sz w:val="22"/>
          <w:szCs w:val="22"/>
        </w:rPr>
        <w:t>Mötv</w:t>
      </w:r>
      <w:proofErr w:type="spellEnd"/>
      <w:r>
        <w:rPr>
          <w:rFonts w:asciiTheme="majorHAnsi" w:hAnsiTheme="majorHAnsi" w:cstheme="majorHAnsi"/>
          <w:sz w:val="22"/>
          <w:szCs w:val="22"/>
        </w:rPr>
        <w:t>. e tárgykörben a következőket szabályozza: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14. § (1) A 13. § (1) bekezdésében meghatározott feladatok ellátásának részletes szabályait, ha e törvény másként nem rendelkezik, jogszabályok tartalmazzák.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proofErr w:type="gramStart"/>
      <w:r w:rsidRPr="006A547F">
        <w:rPr>
          <w:rFonts w:asciiTheme="majorHAnsi" w:hAnsiTheme="majorHAnsi" w:cstheme="majorHAnsi"/>
          <w:i/>
        </w:rPr>
        <w:t>a</w:t>
      </w:r>
      <w:proofErr w:type="gramEnd"/>
      <w:r w:rsidRPr="006A547F">
        <w:rPr>
          <w:rFonts w:asciiTheme="majorHAnsi" w:hAnsiTheme="majorHAnsi" w:cstheme="majorHAnsi"/>
          <w:i/>
        </w:rPr>
        <w:t xml:space="preserve">) olyan személy nevét, aki a XX. századi </w:t>
      </w:r>
      <w:proofErr w:type="spellStart"/>
      <w:r w:rsidRPr="006A547F">
        <w:rPr>
          <w:rFonts w:asciiTheme="majorHAnsi" w:hAnsiTheme="majorHAnsi" w:cstheme="majorHAnsi"/>
          <w:i/>
        </w:rPr>
        <w:t>önkényuralmi</w:t>
      </w:r>
      <w:proofErr w:type="spellEnd"/>
      <w:r w:rsidRPr="006A547F">
        <w:rPr>
          <w:rFonts w:asciiTheme="majorHAnsi" w:hAnsiTheme="majorHAnsi" w:cstheme="majorHAnsi"/>
          <w:i/>
        </w:rPr>
        <w:t xml:space="preserve"> politikai rendszerek megalapozásában, kiépítésében vagy fenntartásában részt vett, vagy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 xml:space="preserve">b) olyan kifejezést vagy olyan szervezet nevét, amely a XX. századi </w:t>
      </w:r>
      <w:proofErr w:type="spellStart"/>
      <w:r w:rsidRPr="006A547F">
        <w:rPr>
          <w:rFonts w:asciiTheme="majorHAnsi" w:hAnsiTheme="majorHAnsi" w:cstheme="majorHAnsi"/>
          <w:i/>
        </w:rPr>
        <w:t>önkényuralmi</w:t>
      </w:r>
      <w:proofErr w:type="spellEnd"/>
      <w:r w:rsidRPr="006A547F">
        <w:rPr>
          <w:rFonts w:asciiTheme="majorHAnsi" w:hAnsiTheme="majorHAnsi" w:cstheme="majorHAnsi"/>
          <w:i/>
        </w:rPr>
        <w:t xml:space="preserve"> politikai rendszerre közvetlenül utal.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 xml:space="preserve">(3) Ha a helyi önkormányzat döntése során kétség merül fel a tekintetben, hogy a közterület neve megfelel-e a (2) bekezdésnek, arról </w:t>
      </w:r>
      <w:proofErr w:type="spellStart"/>
      <w:r w:rsidRPr="006A547F">
        <w:rPr>
          <w:rFonts w:asciiTheme="majorHAnsi" w:hAnsiTheme="majorHAnsi" w:cstheme="majorHAnsi"/>
          <w:i/>
        </w:rPr>
        <w:t>beszerzi</w:t>
      </w:r>
      <w:proofErr w:type="spellEnd"/>
      <w:r w:rsidRPr="006A547F">
        <w:rPr>
          <w:rFonts w:asciiTheme="majorHAnsi" w:hAnsiTheme="majorHAnsi" w:cstheme="majorHAnsi"/>
          <w:i/>
        </w:rPr>
        <w:t xml:space="preserve"> a Magyar Tudományos Akadémia állásfoglalását.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14/A. § (1) Minden belterületi és olyan külterületi közterületet el kell nevezni, amely olyan ingatlanhoz vezet, amelyen az épített környezet alakításáról és védelméről szóló törvény szerinti épület található.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(2) Közterület elnevezéseként nem alkalmazható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proofErr w:type="gramStart"/>
      <w:r w:rsidRPr="006A547F">
        <w:rPr>
          <w:rFonts w:asciiTheme="majorHAnsi" w:hAnsiTheme="majorHAnsi" w:cstheme="majorHAnsi"/>
          <w:i/>
        </w:rPr>
        <w:t>a</w:t>
      </w:r>
      <w:proofErr w:type="gramEnd"/>
      <w:r w:rsidRPr="006A547F">
        <w:rPr>
          <w:rFonts w:asciiTheme="majorHAnsi" w:hAnsiTheme="majorHAnsi" w:cstheme="majorHAnsi"/>
          <w:i/>
        </w:rPr>
        <w:t>) ugyanazon településen vagy a fővárosban ugyanazon a kerületen belül azonos jellegű közterületre alkalmazandó azonos,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b) kormányrendeletben meghatározottak szerint a közterületek megkülönböztetését lehetővé tevő szabályokkal való ellentét miatt összetéveszthető, vagy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lastRenderedPageBreak/>
        <w:t>c) kormányrendeletben meghatározottak szerint a közterületek elnevezésére vonatkozó technikai feltételekkel ellentétes</w:t>
      </w:r>
      <w:r w:rsidR="006A547F">
        <w:rPr>
          <w:rFonts w:asciiTheme="majorHAnsi" w:hAnsiTheme="majorHAnsi" w:cstheme="majorHAnsi"/>
          <w:i/>
        </w:rPr>
        <w:t xml:space="preserve"> </w:t>
      </w:r>
      <w:r w:rsidRPr="006A547F">
        <w:rPr>
          <w:rFonts w:asciiTheme="majorHAnsi" w:hAnsiTheme="majorHAnsi" w:cstheme="majorHAnsi"/>
          <w:i/>
        </w:rPr>
        <w:t>elnevezés.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(3) Közterület élő személyről nem nevezhető el.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(4) Települések egyesítése, területrész átadása, a kerület határainak megváltoztatása után szükség esetén átnevezéssel kell gondoskodni arról, hogy az új település közterületnevei megfeleljenek a (2) és (3) bekezdésben meghatározott követelményeknek.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>(5) Minden házszámmal ellátott épületen a tulajdonosnak fel kell tüntetnie a házszámot.</w:t>
      </w:r>
    </w:p>
    <w:p w:rsidR="0046701F" w:rsidRPr="006A547F" w:rsidRDefault="0046701F" w:rsidP="006A547F">
      <w:pPr>
        <w:pStyle w:val="NormlWeb"/>
        <w:spacing w:before="0" w:beforeAutospacing="0" w:after="0" w:afterAutospacing="0"/>
        <w:rPr>
          <w:rFonts w:asciiTheme="majorHAnsi" w:hAnsiTheme="majorHAnsi" w:cstheme="majorHAnsi"/>
          <w:i/>
        </w:rPr>
      </w:pPr>
      <w:r w:rsidRPr="006A547F">
        <w:rPr>
          <w:rFonts w:asciiTheme="majorHAnsi" w:hAnsiTheme="majorHAnsi" w:cstheme="majorHAnsi"/>
          <w:i/>
        </w:rPr>
        <w:t xml:space="preserve">(6)Minden, az (1) bekezdés szerint elnevezett közterületet az elnevezése feltüntetésével kell megjelölni.” </w:t>
      </w:r>
    </w:p>
    <w:p w:rsidR="0046701F" w:rsidRPr="006A547F" w:rsidRDefault="0046701F" w:rsidP="006A547F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  <w:r w:rsidRPr="00023BD2">
        <w:rPr>
          <w:rFonts w:asciiTheme="majorHAnsi" w:hAnsiTheme="majorHAnsi" w:cstheme="majorHAnsi"/>
          <w:b w:val="0"/>
          <w:bCs/>
          <w:sz w:val="22"/>
          <w:szCs w:val="22"/>
        </w:rPr>
        <w:t xml:space="preserve">A fentiekre tekintettel új rendelet megalkotására teszek javaslatot. </w:t>
      </w:r>
      <w:r w:rsidR="00F1145A">
        <w:rPr>
          <w:rFonts w:asciiTheme="majorHAnsi" w:hAnsiTheme="majorHAnsi" w:cstheme="majorHAnsi"/>
          <w:b w:val="0"/>
          <w:bCs/>
          <w:sz w:val="22"/>
          <w:szCs w:val="22"/>
        </w:rPr>
        <w:t xml:space="preserve">A rendeletünk tartalmazza a zártkerti ingatlanokra vonatkozó rendelkezést is, mely szerint az ingatlan házszáma e területen a helyrajzi szám lesz. </w:t>
      </w:r>
    </w:p>
    <w:p w:rsidR="0046701F" w:rsidRDefault="0046701F" w:rsidP="006A547F">
      <w:pPr>
        <w:pStyle w:val="Cm"/>
        <w:tabs>
          <w:tab w:val="left" w:pos="0"/>
        </w:tabs>
        <w:jc w:val="both"/>
        <w:outlineLvl w:val="0"/>
        <w:rPr>
          <w:rFonts w:asciiTheme="majorHAnsi" w:hAnsiTheme="majorHAnsi" w:cstheme="majorHAnsi"/>
          <w:b w:val="0"/>
          <w:bCs/>
          <w:sz w:val="22"/>
          <w:szCs w:val="22"/>
        </w:rPr>
      </w:pPr>
    </w:p>
    <w:p w:rsidR="00483E3B" w:rsidRPr="00483E3B" w:rsidRDefault="00483E3B" w:rsidP="00483E3B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 xml:space="preserve">Balatonberény Község Önkormányzata </w:t>
      </w:r>
      <w:proofErr w:type="gramStart"/>
      <w:r w:rsidRPr="00483E3B">
        <w:rPr>
          <w:rFonts w:eastAsia="Noto Sans CJK SC Regular" w:cs="FreeSans"/>
          <w:b/>
          <w:bCs/>
          <w:kern w:val="2"/>
          <w:lang w:eastAsia="zh-CN" w:bidi="hi-IN"/>
        </w:rPr>
        <w:t>Képviselő-testületének .</w:t>
      </w:r>
      <w:proofErr w:type="gramEnd"/>
      <w:r w:rsidRPr="00483E3B">
        <w:rPr>
          <w:rFonts w:eastAsia="Noto Sans CJK SC Regular" w:cs="FreeSans"/>
          <w:b/>
          <w:bCs/>
          <w:kern w:val="2"/>
          <w:lang w:eastAsia="zh-CN" w:bidi="hi-IN"/>
        </w:rPr>
        <w:t>../.... (</w:t>
      </w:r>
      <w:proofErr w:type="gramStart"/>
      <w:r w:rsidRPr="00483E3B">
        <w:rPr>
          <w:rFonts w:eastAsia="Noto Sans CJK SC Regular" w:cs="FreeSans"/>
          <w:b/>
          <w:bCs/>
          <w:kern w:val="2"/>
          <w:lang w:eastAsia="zh-CN" w:bidi="hi-IN"/>
        </w:rPr>
        <w:t>...</w:t>
      </w:r>
      <w:proofErr w:type="gramEnd"/>
      <w:r w:rsidRPr="00483E3B">
        <w:rPr>
          <w:rFonts w:eastAsia="Noto Sans CJK SC Regular" w:cs="FreeSans"/>
          <w:b/>
          <w:bCs/>
          <w:kern w:val="2"/>
          <w:lang w:eastAsia="zh-CN" w:bidi="hi-IN"/>
        </w:rPr>
        <w:t>) önkormányzati rendelete</w:t>
      </w:r>
    </w:p>
    <w:p w:rsidR="00483E3B" w:rsidRPr="00483E3B" w:rsidRDefault="00483E3B" w:rsidP="00483E3B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proofErr w:type="gramStart"/>
      <w:r w:rsidRPr="00483E3B">
        <w:rPr>
          <w:rFonts w:eastAsia="Noto Sans CJK SC Regular" w:cs="FreeSans"/>
          <w:b/>
          <w:bCs/>
          <w:kern w:val="2"/>
          <w:lang w:eastAsia="zh-CN" w:bidi="hi-IN"/>
        </w:rPr>
        <w:t>a</w:t>
      </w:r>
      <w:proofErr w:type="gramEnd"/>
      <w:r w:rsidRPr="00483E3B">
        <w:rPr>
          <w:rFonts w:eastAsia="Noto Sans CJK SC Regular" w:cs="FreeSans"/>
          <w:b/>
          <w:bCs/>
          <w:kern w:val="2"/>
          <w:lang w:eastAsia="zh-CN" w:bidi="hi-IN"/>
        </w:rPr>
        <w:t xml:space="preserve"> közterületek elnevezéséről és a házszámozás szabályairól</w:t>
      </w:r>
    </w:p>
    <w:p w:rsidR="00483E3B" w:rsidRPr="00483E3B" w:rsidRDefault="00483E3B" w:rsidP="00483E3B">
      <w:pPr>
        <w:suppressAutoHyphens/>
        <w:spacing w:before="22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Balatonberény Község Önkormányzat Képviselő-testülete a Magyarország helyi önkormányzatairól szóló 2011. évi CLXXXIX. törvény 143. § (3) bekezdésében kapott felhatalmazás alapján, a Magyarország helyi önkormányzatairól szóló 2011. évi CLXXXIX. törvény 13. § (1) bekezdés 3. pontjában meghatározott feladatkörében eljárva a következőket rendeli el: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1. A közterületek elnevezésének általános szabályai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Az újonnan létesített közterület nevét, a létrejöttét követő egy éven belül kell megállapítani.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Közterület elnevezését a megállapításától számított 10 éven belül nem lehet megváltoztatni.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(3) A lakótelkek épületei közötti szerviz utakat, továbbá a mezőgazdasági célú és lakónépességet nem érintő dűlőutakat nem szükséges elnevezni.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(4) Az elnevezett utca természetes folytatásaként nyíló új útszakasz külön elnevezési eljárás nélkül a már elnevezett utca nevét veszi fel.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2.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 közterület elnevezésénél, figyelemmel kell lenni a község jellegére, történelmére, hagyományaira, földrajzi sajátosságaira. Az elnevezés lehetőleg utaljon a közterületnek a községen belüli elhelyezkedésére, és helytörténeti vonatkozásaira.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község közigazgatási területén, több azonos elnevezésű közterület nem lehet.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(3) Közterületet személyről, tárgyról, állatról, növényről, történelmi eseményről, földrajzi névről vagy fogalomról lehet elnevezni.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3.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lastRenderedPageBreak/>
        <w:t>(1) A közterület elnevezése során törekedni kell arra, hogy az elnevezés rövid és közérthető, a magyar nyelvhelyesség szabályainak megfelelő legyen.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személyről történő elnevezés során törekedni kell arra, hogy az elnevezés olyan személynek állítson emléket, aki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a) a társadalmi élet bármely területén kimagasló érdemeket szerzett és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b) élete, munkássága valamely módon a községhez kötődik. Kivételes esetben a községhez nem kötődő, de az emberiség egyetemes történelmében kiemelkedő jelentőségű személy.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2. A közterületek elnevezésének eljárási szabályai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4.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 közterület nevének megállapítása, vagy megváltoztatása Balatonberény Község Önkormányzata Képviselő-testületének hatáskörébe tartozik.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közterületnév megállapítását vagy megváltoztatását kezdeményezheti: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a) a polgármester,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b) a jegyző,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c) a helyi önkormányzat képviselője,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d) Balatonberényben bejelentett lakcímmel rendelkező állampolgár,</w:t>
      </w:r>
      <w:r w:rsidRPr="00483E3B">
        <w:rPr>
          <w:rFonts w:eastAsia="Noto Sans CJK SC Regular" w:cs="FreeSans"/>
          <w:kern w:val="2"/>
          <w:lang w:eastAsia="zh-CN" w:bidi="hi-IN"/>
        </w:rPr>
        <w:tab/>
        <w:t xml:space="preserve"> </w:t>
      </w:r>
      <w:r w:rsidRPr="00483E3B">
        <w:rPr>
          <w:rFonts w:eastAsia="Noto Sans CJK SC Regular" w:cs="FreeSans"/>
          <w:kern w:val="2"/>
          <w:lang w:eastAsia="zh-CN" w:bidi="hi-IN"/>
        </w:rPr>
        <w:br/>
        <w:t>e) Balatonberényben ingatlannal, székhellyel, telephellyel rendelkező természetes, vagy jogi személy.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5.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Az elnevezésre vonatkozó előterjesztést két fordulóban kell tárgyalni, és a két forduló között legalább 15 napra közzé kell tenni a község honlapján, hirdetőtáblákon. Az elnevezéssel kapcsolatban benyújtott észrevételeket a képviselő-testület elé kell terjeszteni.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6.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közterület elnevezésével kapcsolatos döntést ki kell hirdetni, és közzé kell tenni a honlapon. A döntésről értesíteni kell a Járási Hivatalt, illetékes rendőrkapitányságot, postai szolgáltatót, katasztrófavédelmet, mentőszolgálatot, a közmű-szolgáltatókat.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3. A házszám megállapítására vonatkozó szabályok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7.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 lakóházakat, egyéb épületeket és az építési telkeket (a továbbiakban: ingatlan) házszámmal kell ellátni.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házszámozásnál figyelemmel kell lenni, azon beépítetlen telkekre is, melyek a későbbi beépítéskor a közbenső házszámot kapják.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(3) Ingatlan megosztása esetén, ha az újonnan kialakuló telek ugyanarra a közterületre nyílik, a házszámot az ABC nagybetűivel kell megkülönböztetni.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(4) Nyúlványos telek kialakításánál az ingatlan megosztás szabályait kell figyelembe venni. Telekegyesítéskor, ha nincs épület, a legkisebb számot kapja az ingatlan. Telekegyesítéskor, ha van épület, akkor annak a számát kapja meg az ingatlan.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lastRenderedPageBreak/>
        <w:t>(5) Ha egy ingatlan több közterülettel is érintkezik, a házszámot arról a közterületről kell megállapítani, amely felől az ingatlan bejárata esik, vagy új megosztás esetén a szélesebb közterület soron következő házszámát kell kapnia, esetleges alátöréssel.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(6) Az elnevezni kívánt új ingatlanhoz legközelebb eső házszámot kell alkalmazni, az ABC nagybetűinek alátörésével.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(7) A zártkerti ingatlan házszáma az adott ingatlan helyrajzi száma.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8.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Az út, utca, körút, köz, sétány (a továbbiakban együtt: utca) házszámozását úgy kell elvégezni, hogy a számok a község központjától kifelé haladva, 1-től kezdődően növekedjenek. Az utca bal oldala páros, a jobb oldala páratlan számozást kap.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Terek esetén a házszámozás 1-től kezdődően folyamatos, az óramutató járásával megegyező irányú.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(3) Földrajzi okokból csak egyik oldalán beépíthető utcák házszámozása 1-től kezdődően folyamatos.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(4) Az (1) – (3) bekezdés rendelkezései a rendelet hatálybalépésekor már meglévő közterületek házszámozását nem érintik.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(5) Egy közterületre nyíló több ingatlan azonos számmal nem jelölhető.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(6) A házszám megállapításáról szóló döntést az érintett ingatlannal rendelkezni jogosultakkal és a 6. §-</w:t>
      </w:r>
      <w:proofErr w:type="spellStart"/>
      <w:r w:rsidRPr="00483E3B">
        <w:rPr>
          <w:rFonts w:eastAsia="Noto Sans CJK SC Regular" w:cs="FreeSans"/>
          <w:kern w:val="2"/>
          <w:lang w:eastAsia="zh-CN" w:bidi="hi-IN"/>
        </w:rPr>
        <w:t>ban</w:t>
      </w:r>
      <w:proofErr w:type="spellEnd"/>
      <w:r w:rsidRPr="00483E3B">
        <w:rPr>
          <w:rFonts w:eastAsia="Noto Sans CJK SC Regular" w:cs="FreeSans"/>
          <w:kern w:val="2"/>
          <w:lang w:eastAsia="zh-CN" w:bidi="hi-IN"/>
        </w:rPr>
        <w:t xml:space="preserve"> felsoroltak részére meg kell küldeni.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4. Névtáblák elhelyezésének szabályai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9.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(1) A közterületek nevét jól látható módon, névtáblán kell feltüntetni.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közterületek névtábláit a saroktelek kerítésén, ennek hiányában a saroképületen, vagy külön tartószerkezeten kell elhelyezni.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(3) A névtábla kihelyezésével érintett ingatlan tulajdonosa vagy használója a névtábla kihelyezését tűrni köteles.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(4) A névtáblák kihelyezéséről, karbantartásáról, szükség szerinti cseréjéről az önkormányzat gondoskodik.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10.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közterület elnevezésének megváltozása esetén a régi elnevezést feltüntető névtáblákat, a változásról szóló döntést követő egy évig, piros átlós vonallal áthúzva az eredeti helyén kell hagyni. Az új elnevezést feltüntető névtáblákat közvetlenül a régi fölött vagy alatt kell elhelyezni.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5. Házszámtábla elhelyezésének szabályai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11.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lastRenderedPageBreak/>
        <w:t>(1) A házszámot jelző táblát (a továbbiakban: házszámtábla) az ingatlan utcafronti kerítésére, házfalára, az utcáról jól látható módon kell az ingatlan használójának, kezelőjének, ennek hiányában tulajdonosának elhelyezni.</w:t>
      </w:r>
    </w:p>
    <w:p w:rsidR="00483E3B" w:rsidRPr="00483E3B" w:rsidRDefault="00483E3B" w:rsidP="00483E3B">
      <w:pPr>
        <w:suppressAutoHyphens/>
        <w:spacing w:before="2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(2) A házszámtábla beszerzéséről, kihelyezéséről, olvasható állapotban tartásáról, szükség szerint cseréjéről és pótlásáról az (1) bekezdés szerinti kötelezett gondoskodik.</w:t>
      </w:r>
    </w:p>
    <w:p w:rsidR="00483E3B" w:rsidRPr="00483E3B" w:rsidRDefault="00483E3B" w:rsidP="00483E3B">
      <w:pPr>
        <w:suppressAutoHyphens/>
        <w:spacing w:before="28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6. Záró rendelkezések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12. §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Hatályát veszti a közterületek elnevezéséről és a házszámozás szabályairól szóló Balatonberény Község Önkormányzat Képviselő-testülete 10/2014. (VIII.29</w:t>
      </w:r>
      <w:proofErr w:type="gramStart"/>
      <w:r w:rsidRPr="00483E3B">
        <w:rPr>
          <w:rFonts w:eastAsia="Noto Sans CJK SC Regular" w:cs="FreeSans"/>
          <w:kern w:val="2"/>
          <w:lang w:eastAsia="zh-CN" w:bidi="hi-IN"/>
        </w:rPr>
        <w:t>..</w:t>
      </w:r>
      <w:proofErr w:type="gramEnd"/>
      <w:r w:rsidRPr="00483E3B">
        <w:rPr>
          <w:rFonts w:eastAsia="Noto Sans CJK SC Regular" w:cs="FreeSans"/>
          <w:kern w:val="2"/>
          <w:lang w:eastAsia="zh-CN" w:bidi="hi-IN"/>
        </w:rPr>
        <w:t>) önkormányzati rendelete.</w:t>
      </w:r>
    </w:p>
    <w:p w:rsidR="00483E3B" w:rsidRPr="00483E3B" w:rsidRDefault="00483E3B" w:rsidP="00483E3B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483E3B">
        <w:rPr>
          <w:rFonts w:eastAsia="Noto Sans CJK SC Regular" w:cs="FreeSans"/>
          <w:b/>
          <w:bCs/>
          <w:kern w:val="2"/>
          <w:lang w:eastAsia="zh-CN" w:bidi="hi-IN"/>
        </w:rPr>
        <w:t>13. §</w:t>
      </w:r>
    </w:p>
    <w:p w:rsid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Ez a rendelet a kihirdetését követő harmadik napon lép hatályba.</w:t>
      </w: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proofErr w:type="spellStart"/>
      <w:r>
        <w:rPr>
          <w:rFonts w:eastAsia="Noto Sans CJK SC Regular" w:cs="FreeSans"/>
          <w:kern w:val="2"/>
          <w:lang w:eastAsia="zh-CN" w:bidi="hi-IN"/>
        </w:rPr>
        <w:t>Druskoczi</w:t>
      </w:r>
      <w:proofErr w:type="spellEnd"/>
      <w:r>
        <w:rPr>
          <w:rFonts w:eastAsia="Noto Sans CJK SC Regular" w:cs="FreeSans"/>
          <w:kern w:val="2"/>
          <w:lang w:eastAsia="zh-CN" w:bidi="hi-IN"/>
        </w:rPr>
        <w:t xml:space="preserve"> </w:t>
      </w:r>
      <w:proofErr w:type="gramStart"/>
      <w:r>
        <w:rPr>
          <w:rFonts w:eastAsia="Noto Sans CJK SC Regular" w:cs="FreeSans"/>
          <w:kern w:val="2"/>
          <w:lang w:eastAsia="zh-CN" w:bidi="hi-IN"/>
        </w:rPr>
        <w:t>Tünde                                                                      Mestyán</w:t>
      </w:r>
      <w:proofErr w:type="gramEnd"/>
      <w:r>
        <w:rPr>
          <w:rFonts w:eastAsia="Noto Sans CJK SC Regular" w:cs="FreeSans"/>
          <w:kern w:val="2"/>
          <w:lang w:eastAsia="zh-CN" w:bidi="hi-IN"/>
        </w:rPr>
        <w:t xml:space="preserve"> Valéria</w:t>
      </w: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proofErr w:type="gramStart"/>
      <w:r>
        <w:rPr>
          <w:rFonts w:eastAsia="Noto Sans CJK SC Regular" w:cs="FreeSans"/>
          <w:kern w:val="2"/>
          <w:lang w:eastAsia="zh-CN" w:bidi="hi-IN"/>
        </w:rPr>
        <w:t>polgármester</w:t>
      </w:r>
      <w:proofErr w:type="gramEnd"/>
      <w:r>
        <w:rPr>
          <w:rFonts w:eastAsia="Noto Sans CJK SC Regular" w:cs="FreeSans"/>
          <w:kern w:val="2"/>
          <w:lang w:eastAsia="zh-CN" w:bidi="hi-IN"/>
        </w:rPr>
        <w:t xml:space="preserve">                                                                          címzetes főjegyző</w:t>
      </w: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>Kihirdetve: 2023</w:t>
      </w:r>
      <w:proofErr w:type="gramStart"/>
      <w:r>
        <w:rPr>
          <w:rFonts w:eastAsia="Noto Sans CJK SC Regular" w:cs="FreeSans"/>
          <w:kern w:val="2"/>
          <w:lang w:eastAsia="zh-CN" w:bidi="hi-IN"/>
        </w:rPr>
        <w:t>………….</w:t>
      </w:r>
      <w:proofErr w:type="gramEnd"/>
      <w:r>
        <w:rPr>
          <w:rFonts w:eastAsia="Noto Sans CJK SC Regular" w:cs="FreeSans"/>
          <w:kern w:val="2"/>
          <w:lang w:eastAsia="zh-CN" w:bidi="hi-IN"/>
        </w:rPr>
        <w:t>napján.</w:t>
      </w: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</w:p>
    <w:p w:rsidR="00571FAE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>
        <w:rPr>
          <w:rFonts w:eastAsia="Noto Sans CJK SC Regular" w:cs="FreeSans"/>
          <w:kern w:val="2"/>
          <w:lang w:eastAsia="zh-CN" w:bidi="hi-IN"/>
        </w:rPr>
        <w:t>Mestyán Valéria</w:t>
      </w:r>
    </w:p>
    <w:p w:rsidR="00571FAE" w:rsidRPr="00483E3B" w:rsidRDefault="00571FAE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  <w:sectPr w:rsidR="00571FAE" w:rsidRPr="00483E3B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rFonts w:eastAsia="Noto Sans CJK SC Regular" w:cs="FreeSans"/>
          <w:kern w:val="2"/>
          <w:lang w:eastAsia="zh-CN" w:bidi="hi-IN"/>
        </w:rPr>
        <w:t xml:space="preserve">címzetes főjegyző                    </w:t>
      </w:r>
    </w:p>
    <w:p w:rsidR="00483E3B" w:rsidRPr="00483E3B" w:rsidRDefault="00483E3B" w:rsidP="00483E3B">
      <w:pPr>
        <w:suppressAutoHyphens/>
        <w:spacing w:line="288" w:lineRule="auto"/>
        <w:jc w:val="center"/>
        <w:rPr>
          <w:rFonts w:eastAsia="Noto Sans CJK SC Regular" w:cs="FreeSans"/>
          <w:kern w:val="2"/>
          <w:lang w:eastAsia="zh-CN" w:bidi="hi-IN"/>
        </w:rPr>
      </w:pPr>
    </w:p>
    <w:p w:rsidR="00483E3B" w:rsidRPr="00483E3B" w:rsidRDefault="00483E3B" w:rsidP="00483E3B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Végső előterjesztői indokolás</w:t>
      </w:r>
    </w:p>
    <w:p w:rsidR="00483E3B" w:rsidRPr="00483E3B" w:rsidRDefault="00483E3B" w:rsidP="00483E3B">
      <w:pPr>
        <w:suppressAutoHyphens/>
        <w:spacing w:after="1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Balatonberény Község Önkormányzata e tárgykörben 2014. évben  alkotta meg 10/2014. (VIII.29.) önkormányzati rendeletét.</w:t>
      </w:r>
    </w:p>
    <w:p w:rsidR="00483E3B" w:rsidRPr="00483E3B" w:rsidRDefault="00483E3B" w:rsidP="00483E3B">
      <w:pPr>
        <w:suppressAutoHyphens/>
        <w:spacing w:after="1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rendeletekkel kapcsolatos általános megállapítások: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rendelet már nem felel meg a jogszabályszerkesztésről szóló 61/2009.(XII.14.) IRM rendeletnek.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jogalkotásra felhatalmazó rendelkezés is változott.</w:t>
      </w:r>
    </w:p>
    <w:p w:rsidR="00483E3B" w:rsidRPr="00483E3B" w:rsidRDefault="00483E3B" w:rsidP="00483E3B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rendelet megalkotásánál figyelemmel kell lenni a magasabb szintű jogszabályi rendelkezésekre, azokkal nem lehet ellentétes,  illetve azok rendelkezéseit nem ismételheti meg, nem terjeszkedhet túl a szabályozás a felhatalmazáson túl.  </w:t>
      </w:r>
    </w:p>
    <w:p w:rsidR="00483E3B" w:rsidRPr="00483E3B" w:rsidRDefault="00483E3B" w:rsidP="00483E3B">
      <w:pPr>
        <w:suppressAutoHyphens/>
        <w:spacing w:after="140"/>
        <w:jc w:val="both"/>
        <w:rPr>
          <w:rFonts w:eastAsia="Noto Sans CJK SC Regular" w:cs="FreeSans"/>
          <w:kern w:val="2"/>
          <w:lang w:eastAsia="zh-CN" w:bidi="hi-IN"/>
        </w:rPr>
      </w:pPr>
      <w:r w:rsidRPr="00483E3B">
        <w:rPr>
          <w:rFonts w:eastAsia="Noto Sans CJK SC Regular" w:cs="FreeSans"/>
          <w:kern w:val="2"/>
          <w:lang w:eastAsia="zh-CN" w:bidi="hi-IN"/>
        </w:rPr>
        <w:t>A fentiekre tekintettel új rendelet megalkotása indokolt.</w:t>
      </w:r>
    </w:p>
    <w:p w:rsidR="00EF69F3" w:rsidRDefault="00EF69F3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p w:rsidR="00483E3B" w:rsidRDefault="00483E3B" w:rsidP="00733C22">
      <w:pPr>
        <w:rPr>
          <w:rFonts w:ascii="Century Gothic" w:hAnsi="Century Gothic"/>
          <w:sz w:val="22"/>
          <w:szCs w:val="22"/>
        </w:rPr>
      </w:pPr>
    </w:p>
    <w:sectPr w:rsidR="00483E3B" w:rsidSect="00483E3B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50" w:rsidRDefault="00B26750">
      <w:r>
        <w:separator/>
      </w:r>
    </w:p>
  </w:endnote>
  <w:endnote w:type="continuationSeparator" w:id="0">
    <w:p w:rsidR="00B26750" w:rsidRDefault="00B2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E3B" w:rsidRDefault="00483E3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E2F16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464" w:rsidRDefault="00320F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E2F16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50" w:rsidRDefault="00B26750">
      <w:r>
        <w:separator/>
      </w:r>
    </w:p>
  </w:footnote>
  <w:footnote w:type="continuationSeparator" w:id="0">
    <w:p w:rsidR="00B26750" w:rsidRDefault="00B26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83179"/>
    <w:multiLevelType w:val="hybridMultilevel"/>
    <w:tmpl w:val="F4BC9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82A54"/>
    <w:multiLevelType w:val="hybridMultilevel"/>
    <w:tmpl w:val="58A2CB3A"/>
    <w:lvl w:ilvl="0" w:tplc="89D2BB4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3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C6FEC"/>
    <w:multiLevelType w:val="hybridMultilevel"/>
    <w:tmpl w:val="4A4E1B16"/>
    <w:lvl w:ilvl="0" w:tplc="7E3A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1F"/>
    <w:rsid w:val="00106506"/>
    <w:rsid w:val="00212ABD"/>
    <w:rsid w:val="002E42AA"/>
    <w:rsid w:val="002F1E2E"/>
    <w:rsid w:val="00320F81"/>
    <w:rsid w:val="003B5C05"/>
    <w:rsid w:val="0046701F"/>
    <w:rsid w:val="00483E3B"/>
    <w:rsid w:val="004F2330"/>
    <w:rsid w:val="00571FAE"/>
    <w:rsid w:val="006A547F"/>
    <w:rsid w:val="006E2F16"/>
    <w:rsid w:val="006F5872"/>
    <w:rsid w:val="00733C22"/>
    <w:rsid w:val="007E3F67"/>
    <w:rsid w:val="00990013"/>
    <w:rsid w:val="009F3414"/>
    <w:rsid w:val="00A964D5"/>
    <w:rsid w:val="00B26750"/>
    <w:rsid w:val="00D77DEA"/>
    <w:rsid w:val="00EF69F3"/>
    <w:rsid w:val="00F1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D771"/>
  <w15:chartTrackingRefBased/>
  <w15:docId w15:val="{FE6E4365-684A-4B47-BCA8-83D7FDDC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7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46701F"/>
    <w:pPr>
      <w:keepNext/>
      <w:keepLines/>
      <w:spacing w:before="480" w:after="240"/>
      <w:jc w:val="center"/>
    </w:pPr>
    <w:rPr>
      <w:rFonts w:eastAsia="Calibri"/>
      <w:b/>
      <w:sz w:val="28"/>
      <w:szCs w:val="20"/>
    </w:rPr>
  </w:style>
  <w:style w:type="paragraph" w:styleId="Cm">
    <w:name w:val="Title"/>
    <w:aliases w:val="Char Char,Char, Char"/>
    <w:basedOn w:val="Norml"/>
    <w:link w:val="CmChar"/>
    <w:qFormat/>
    <w:rsid w:val="0046701F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46701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6701F"/>
    <w:pPr>
      <w:spacing w:before="100" w:beforeAutospacing="1" w:after="100" w:afterAutospacing="1"/>
    </w:pPr>
  </w:style>
  <w:style w:type="character" w:customStyle="1" w:styleId="jel">
    <w:name w:val="jel"/>
    <w:basedOn w:val="Bekezdsalapbettpusa"/>
    <w:rsid w:val="00F1145A"/>
  </w:style>
  <w:style w:type="paragraph" w:styleId="Szvegtrzs">
    <w:name w:val="Body Text"/>
    <w:basedOn w:val="Norml"/>
    <w:link w:val="SzvegtrzsChar"/>
    <w:rsid w:val="006A547F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A547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6A547F"/>
    <w:pPr>
      <w:suppressLineNumbers/>
      <w:tabs>
        <w:tab w:val="center" w:pos="4819"/>
        <w:tab w:val="right" w:pos="9638"/>
      </w:tabs>
      <w:suppressAutoHyphens/>
    </w:pPr>
    <w:rPr>
      <w:rFonts w:eastAsia="Noto Sans CJK SC Regular" w:cs="FreeSans"/>
      <w:kern w:val="2"/>
      <w:lang w:eastAsia="zh-CN" w:bidi="hi-IN"/>
    </w:rPr>
  </w:style>
  <w:style w:type="character" w:customStyle="1" w:styleId="llbChar">
    <w:name w:val="Élőláb Char"/>
    <w:basedOn w:val="Bekezdsalapbettpusa"/>
    <w:link w:val="llb"/>
    <w:rsid w:val="006A547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9F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1489</Words>
  <Characters>10281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8</cp:revision>
  <dcterms:created xsi:type="dcterms:W3CDTF">2023-03-09T05:08:00Z</dcterms:created>
  <dcterms:modified xsi:type="dcterms:W3CDTF">2023-03-22T07:40:00Z</dcterms:modified>
</cp:coreProperties>
</file>