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E8E" w:rsidRDefault="008F2E8E">
      <w:pPr>
        <w:rPr>
          <w:sz w:val="44"/>
          <w:szCs w:val="44"/>
        </w:rPr>
      </w:pPr>
    </w:p>
    <w:p w:rsidR="008F2E8E" w:rsidRDefault="008F2E8E">
      <w:pPr>
        <w:jc w:val="center"/>
        <w:rPr>
          <w:sz w:val="44"/>
          <w:szCs w:val="44"/>
        </w:rPr>
      </w:pPr>
    </w:p>
    <w:p w:rsidR="008F2E8E" w:rsidRDefault="008F2E8E">
      <w:pPr>
        <w:jc w:val="center"/>
        <w:rPr>
          <w:b/>
          <w:bCs/>
          <w:sz w:val="48"/>
          <w:szCs w:val="48"/>
        </w:rPr>
      </w:pPr>
    </w:p>
    <w:p w:rsidR="008F2E8E" w:rsidRDefault="00475790">
      <w:pPr>
        <w:jc w:val="center"/>
        <w:rPr>
          <w:rFonts w:ascii="Arial Black" w:hAnsi="Arial Black" w:cs="Arial Black"/>
          <w:b/>
          <w:bCs/>
          <w:sz w:val="48"/>
          <w:szCs w:val="48"/>
        </w:rPr>
      </w:pPr>
      <w:r>
        <w:rPr>
          <w:rFonts w:ascii="Arial Black" w:hAnsi="Arial Black" w:cs="Arial Black"/>
          <w:b/>
          <w:bCs/>
          <w:sz w:val="48"/>
          <w:szCs w:val="48"/>
        </w:rPr>
        <w:t>E L Ő T E R J E S Z T É S</w:t>
      </w:r>
    </w:p>
    <w:p w:rsidR="008F2E8E" w:rsidRDefault="008F2E8E">
      <w:pPr>
        <w:jc w:val="center"/>
        <w:rPr>
          <w:rFonts w:ascii="Arial Black" w:hAnsi="Arial Black" w:cs="Arial Black"/>
          <w:sz w:val="44"/>
          <w:szCs w:val="44"/>
        </w:rPr>
      </w:pPr>
    </w:p>
    <w:p w:rsidR="008F2E8E" w:rsidRDefault="008F2E8E">
      <w:pPr>
        <w:jc w:val="center"/>
        <w:rPr>
          <w:rFonts w:ascii="Arial Black" w:hAnsi="Arial Black" w:cs="Arial Black"/>
          <w:sz w:val="44"/>
          <w:szCs w:val="44"/>
        </w:rPr>
      </w:pPr>
    </w:p>
    <w:p w:rsidR="008F2E8E" w:rsidRDefault="00475790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1215390" cy="1751965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2" t="-29" r="-42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E8E" w:rsidRDefault="008F2E8E">
      <w:pPr>
        <w:jc w:val="center"/>
      </w:pPr>
    </w:p>
    <w:p w:rsidR="008F2E8E" w:rsidRDefault="008F2E8E"/>
    <w:p w:rsidR="008F2E8E" w:rsidRDefault="00475790">
      <w:pPr>
        <w:jc w:val="center"/>
      </w:pPr>
      <w:r>
        <w:rPr>
          <w:rFonts w:ascii="Arial" w:eastAsia="Arial" w:hAnsi="Arial" w:cs="Arial"/>
          <w:sz w:val="44"/>
          <w:szCs w:val="44"/>
        </w:rPr>
        <w:t xml:space="preserve"> Előterjesztés </w:t>
      </w:r>
    </w:p>
    <w:p w:rsidR="008F2E8E" w:rsidRDefault="00475790">
      <w:pPr>
        <w:jc w:val="center"/>
      </w:pPr>
      <w:r>
        <w:rPr>
          <w:rFonts w:ascii="Arial" w:hAnsi="Arial" w:cs="Arial"/>
          <w:sz w:val="44"/>
          <w:szCs w:val="44"/>
        </w:rPr>
        <w:t>Balatonberényi Községi Önkormányzat</w:t>
      </w:r>
      <w:r>
        <w:rPr>
          <w:rFonts w:ascii="Arial" w:eastAsia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:rsidR="008F2E8E" w:rsidRDefault="008F2E8E">
      <w:pPr>
        <w:jc w:val="center"/>
        <w:rPr>
          <w:rFonts w:ascii="Arial" w:hAnsi="Arial" w:cs="Arial"/>
        </w:rPr>
      </w:pPr>
    </w:p>
    <w:p w:rsidR="008F2E8E" w:rsidRDefault="00475790">
      <w:pPr>
        <w:jc w:val="center"/>
      </w:pPr>
      <w:r>
        <w:rPr>
          <w:rFonts w:ascii="Arial" w:hAnsi="Arial" w:cs="Arial"/>
          <w:sz w:val="36"/>
          <w:szCs w:val="36"/>
        </w:rPr>
        <w:t>20</w:t>
      </w:r>
      <w:r w:rsidR="001D256D">
        <w:rPr>
          <w:rFonts w:ascii="Arial" w:hAnsi="Arial" w:cs="Arial"/>
          <w:sz w:val="36"/>
          <w:szCs w:val="36"/>
        </w:rPr>
        <w:t>23. április 18</w:t>
      </w:r>
      <w:r w:rsidR="00293979">
        <w:rPr>
          <w:rFonts w:ascii="Arial" w:hAnsi="Arial" w:cs="Arial"/>
          <w:sz w:val="36"/>
          <w:szCs w:val="36"/>
        </w:rPr>
        <w:t xml:space="preserve">-i </w:t>
      </w:r>
      <w:r>
        <w:rPr>
          <w:rFonts w:ascii="Arial" w:hAnsi="Arial" w:cs="Arial"/>
          <w:sz w:val="36"/>
          <w:szCs w:val="36"/>
        </w:rPr>
        <w:t xml:space="preserve">nyilvános </w:t>
      </w:r>
      <w:r w:rsidR="001D256D">
        <w:rPr>
          <w:rFonts w:ascii="Arial" w:hAnsi="Arial" w:cs="Arial"/>
          <w:sz w:val="36"/>
          <w:szCs w:val="36"/>
        </w:rPr>
        <w:t xml:space="preserve">rendkívüli </w:t>
      </w:r>
      <w:r>
        <w:rPr>
          <w:rFonts w:ascii="Arial" w:hAnsi="Arial" w:cs="Arial"/>
          <w:sz w:val="36"/>
          <w:szCs w:val="36"/>
        </w:rPr>
        <w:t>ülésére</w:t>
      </w:r>
    </w:p>
    <w:p w:rsidR="008F2E8E" w:rsidRDefault="008F2E8E">
      <w:pPr>
        <w:rPr>
          <w:rFonts w:ascii="Arial" w:hAnsi="Arial" w:cs="Arial"/>
        </w:rPr>
      </w:pPr>
    </w:p>
    <w:p w:rsidR="008F2E8E" w:rsidRDefault="0047579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293979" w:rsidRPr="00293979" w:rsidRDefault="00475790">
      <w:pPr>
        <w:tabs>
          <w:tab w:val="left" w:pos="192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36"/>
          <w:szCs w:val="36"/>
        </w:rPr>
        <w:t xml:space="preserve">      </w:t>
      </w:r>
      <w:r>
        <w:rPr>
          <w:rFonts w:ascii="Arial" w:eastAsia="Arial" w:hAnsi="Arial" w:cs="Arial"/>
          <w:sz w:val="28"/>
          <w:szCs w:val="28"/>
        </w:rPr>
        <w:t xml:space="preserve">  </w:t>
      </w:r>
      <w:r w:rsidRPr="00293979">
        <w:rPr>
          <w:rFonts w:ascii="Arial" w:hAnsi="Arial" w:cs="Arial"/>
          <w:b/>
          <w:sz w:val="28"/>
          <w:szCs w:val="28"/>
        </w:rPr>
        <w:t xml:space="preserve">Tárgy: </w:t>
      </w:r>
    </w:p>
    <w:p w:rsidR="008F2E8E" w:rsidRPr="00293979" w:rsidRDefault="00475790">
      <w:pPr>
        <w:tabs>
          <w:tab w:val="left" w:pos="1920"/>
        </w:tabs>
        <w:jc w:val="center"/>
        <w:rPr>
          <w:b/>
        </w:rPr>
      </w:pPr>
      <w:r w:rsidRPr="00293979">
        <w:rPr>
          <w:rFonts w:ascii="Arial" w:hAnsi="Arial" w:cs="Arial"/>
          <w:b/>
          <w:sz w:val="28"/>
          <w:szCs w:val="28"/>
        </w:rPr>
        <w:t xml:space="preserve">Balatonberény településrendezési eszközeinek (TRE) </w:t>
      </w:r>
      <w:proofErr w:type="gramStart"/>
      <w:r w:rsidRPr="00293979">
        <w:rPr>
          <w:rFonts w:ascii="Arial" w:hAnsi="Arial" w:cs="Arial"/>
          <w:b/>
          <w:sz w:val="28"/>
          <w:szCs w:val="28"/>
        </w:rPr>
        <w:t xml:space="preserve">módosítása  </w:t>
      </w:r>
      <w:r w:rsidR="00293979">
        <w:rPr>
          <w:rFonts w:ascii="Arial" w:hAnsi="Arial" w:cs="Arial"/>
          <w:b/>
          <w:sz w:val="28"/>
          <w:szCs w:val="28"/>
          <w:u w:val="single"/>
        </w:rPr>
        <w:t>megalapozásához</w:t>
      </w:r>
      <w:proofErr w:type="gramEnd"/>
      <w:r w:rsidR="0029397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293979">
        <w:rPr>
          <w:rFonts w:ascii="Arial" w:eastAsia="Calibri" w:hAnsi="Arial"/>
          <w:b/>
          <w:bCs/>
          <w:color w:val="00000A"/>
          <w:sz w:val="28"/>
          <w:szCs w:val="28"/>
        </w:rPr>
        <w:t>elkészített</w:t>
      </w:r>
    </w:p>
    <w:p w:rsidR="008F2E8E" w:rsidRPr="00293979" w:rsidRDefault="00475790">
      <w:pPr>
        <w:tabs>
          <w:tab w:val="left" w:pos="1920"/>
        </w:tabs>
        <w:jc w:val="center"/>
        <w:rPr>
          <w:b/>
        </w:rPr>
      </w:pPr>
      <w:r w:rsidRPr="00293979">
        <w:rPr>
          <w:rFonts w:ascii="Arial" w:eastAsia="Calibri" w:hAnsi="Arial"/>
          <w:b/>
          <w:bCs/>
          <w:color w:val="00000A"/>
          <w:sz w:val="28"/>
          <w:szCs w:val="28"/>
        </w:rPr>
        <w:t>Telepít</w:t>
      </w:r>
      <w:r w:rsidR="00293979">
        <w:rPr>
          <w:rFonts w:ascii="Arial" w:eastAsia="Calibri" w:hAnsi="Arial"/>
          <w:b/>
          <w:bCs/>
          <w:color w:val="00000A"/>
          <w:sz w:val="28"/>
          <w:szCs w:val="28"/>
        </w:rPr>
        <w:t>ési tanulmányterv elfogadásáról</w:t>
      </w:r>
    </w:p>
    <w:p w:rsidR="008F2E8E" w:rsidRPr="00293979" w:rsidRDefault="00475790">
      <w:pPr>
        <w:tabs>
          <w:tab w:val="left" w:pos="1920"/>
        </w:tabs>
        <w:jc w:val="center"/>
        <w:rPr>
          <w:b/>
          <w:sz w:val="28"/>
          <w:szCs w:val="28"/>
        </w:rPr>
      </w:pPr>
      <w:proofErr w:type="gramStart"/>
      <w:r w:rsidRPr="00293979">
        <w:rPr>
          <w:rFonts w:ascii="Arial" w:eastAsia="Calibri" w:hAnsi="Arial" w:cs="Arial"/>
          <w:b/>
          <w:bCs/>
          <w:color w:val="00000A"/>
          <w:sz w:val="28"/>
          <w:szCs w:val="28"/>
        </w:rPr>
        <w:t>a</w:t>
      </w:r>
      <w:proofErr w:type="gramEnd"/>
      <w:r w:rsidRPr="00293979">
        <w:rPr>
          <w:rFonts w:ascii="Arial" w:eastAsia="Calibri" w:hAnsi="Arial" w:cs="Arial"/>
          <w:b/>
          <w:bCs/>
          <w:color w:val="00000A"/>
          <w:sz w:val="28"/>
          <w:szCs w:val="28"/>
        </w:rPr>
        <w:t xml:space="preserve"> </w:t>
      </w:r>
      <w:r w:rsidRPr="00293979">
        <w:rPr>
          <w:rFonts w:ascii="Arial" w:eastAsia="Calibri" w:hAnsi="Arial" w:cs="Arial"/>
          <w:b/>
          <w:bCs/>
          <w:sz w:val="28"/>
          <w:szCs w:val="28"/>
        </w:rPr>
        <w:t xml:space="preserve">Balatonberény, Balaton-part és a Hétvezér utca között fekvő </w:t>
      </w:r>
      <w:r w:rsidRPr="00293979">
        <w:rPr>
          <w:rFonts w:ascii="Arial" w:eastAsia="Calibri" w:hAnsi="Arial" w:cs="Arial"/>
          <w:b/>
          <w:bCs/>
          <w:sz w:val="28"/>
          <w:szCs w:val="28"/>
        </w:rPr>
        <w:br/>
        <w:t xml:space="preserve">657/20, 658/3, 660/17 és 660/18-20 </w:t>
      </w:r>
      <w:proofErr w:type="spellStart"/>
      <w:r w:rsidRPr="00293979">
        <w:rPr>
          <w:rFonts w:ascii="Arial" w:eastAsia="Calibri" w:hAnsi="Arial" w:cs="Arial"/>
          <w:b/>
          <w:bCs/>
          <w:sz w:val="28"/>
          <w:szCs w:val="28"/>
        </w:rPr>
        <w:t>hrsz</w:t>
      </w:r>
      <w:proofErr w:type="spellEnd"/>
      <w:r w:rsidRPr="00293979">
        <w:rPr>
          <w:rFonts w:ascii="Arial" w:eastAsia="Calibri" w:hAnsi="Arial" w:cs="Arial"/>
          <w:b/>
          <w:bCs/>
          <w:sz w:val="28"/>
          <w:szCs w:val="28"/>
        </w:rPr>
        <w:t>-ú területekre.</w:t>
      </w:r>
      <w:r w:rsidRPr="00293979">
        <w:rPr>
          <w:rFonts w:ascii="Arial" w:hAnsi="Arial" w:cs="Arial"/>
          <w:b/>
          <w:sz w:val="28"/>
          <w:szCs w:val="28"/>
        </w:rPr>
        <w:t xml:space="preserve"> </w:t>
      </w:r>
    </w:p>
    <w:p w:rsidR="008F2E8E" w:rsidRDefault="00475790">
      <w:r>
        <w:rPr>
          <w:rFonts w:ascii="Arial" w:eastAsia="Arial" w:hAnsi="Arial" w:cs="Arial"/>
        </w:rPr>
        <w:t xml:space="preserve">                </w:t>
      </w:r>
    </w:p>
    <w:p w:rsidR="008F2E8E" w:rsidRDefault="008F2E8E">
      <w:pPr>
        <w:rPr>
          <w:rFonts w:ascii="Arial" w:hAnsi="Arial" w:cs="Arial"/>
          <w:b/>
          <w:bCs/>
          <w:sz w:val="28"/>
          <w:szCs w:val="28"/>
        </w:rPr>
      </w:pPr>
    </w:p>
    <w:p w:rsidR="008F2E8E" w:rsidRPr="00293979" w:rsidRDefault="00475790">
      <w:pPr>
        <w:rPr>
          <w:b/>
        </w:rPr>
      </w:pPr>
      <w:r w:rsidRPr="00293979">
        <w:rPr>
          <w:rFonts w:ascii="Arial" w:eastAsia="Arial" w:hAnsi="Arial" w:cs="Arial"/>
          <w:b/>
        </w:rPr>
        <w:t xml:space="preserve">                                                                 </w:t>
      </w:r>
      <w:r w:rsidRPr="00293979">
        <w:rPr>
          <w:rFonts w:ascii="Arial" w:eastAsia="Arial" w:hAnsi="Arial" w:cs="Arial"/>
          <w:b/>
          <w:sz w:val="28"/>
          <w:szCs w:val="28"/>
        </w:rPr>
        <w:t xml:space="preserve">  </w:t>
      </w:r>
      <w:r w:rsidRPr="00293979">
        <w:rPr>
          <w:rFonts w:ascii="Arial" w:hAnsi="Arial" w:cs="Arial"/>
          <w:b/>
          <w:sz w:val="28"/>
          <w:szCs w:val="28"/>
        </w:rPr>
        <w:t xml:space="preserve">Előadó: </w:t>
      </w:r>
    </w:p>
    <w:p w:rsidR="008F2E8E" w:rsidRDefault="008F2E8E">
      <w:pPr>
        <w:rPr>
          <w:rFonts w:ascii="Arial" w:hAnsi="Arial" w:cs="Arial"/>
        </w:rPr>
      </w:pPr>
    </w:p>
    <w:p w:rsidR="00293979" w:rsidRDefault="00475790" w:rsidP="001D256D">
      <w:pPr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</w:rPr>
        <w:t>Druskoczi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Tünde</w:t>
      </w:r>
      <w:bookmarkStart w:id="0" w:name="_GoBack"/>
      <w:bookmarkEnd w:id="0"/>
    </w:p>
    <w:p w:rsidR="008F2E8E" w:rsidRDefault="00475790" w:rsidP="001D256D">
      <w:pPr>
        <w:jc w:val="center"/>
      </w:pPr>
      <w:proofErr w:type="gramStart"/>
      <w:r>
        <w:rPr>
          <w:rFonts w:ascii="Arial" w:hAnsi="Arial" w:cs="Arial"/>
          <w:sz w:val="28"/>
          <w:szCs w:val="28"/>
        </w:rPr>
        <w:t>polgármester</w:t>
      </w:r>
      <w:proofErr w:type="gramEnd"/>
    </w:p>
    <w:p w:rsidR="008F2E8E" w:rsidRDefault="008F2E8E" w:rsidP="001D256D">
      <w:pPr>
        <w:jc w:val="center"/>
        <w:rPr>
          <w:rFonts w:ascii="Arial" w:hAnsi="Arial" w:cs="Arial"/>
        </w:rPr>
      </w:pPr>
    </w:p>
    <w:p w:rsidR="008F2E8E" w:rsidRDefault="008F2E8E">
      <w:pPr>
        <w:rPr>
          <w:rFonts w:ascii="Arial" w:hAnsi="Arial" w:cs="Arial"/>
          <w:szCs w:val="24"/>
        </w:rPr>
      </w:pPr>
    </w:p>
    <w:p w:rsidR="008F2E8E" w:rsidRDefault="008F2E8E">
      <w:pPr>
        <w:jc w:val="center"/>
        <w:rPr>
          <w:b/>
          <w:szCs w:val="24"/>
        </w:rPr>
      </w:pPr>
    </w:p>
    <w:p w:rsidR="008F2E8E" w:rsidRDefault="008F2E8E">
      <w:pPr>
        <w:jc w:val="center"/>
        <w:rPr>
          <w:b/>
          <w:szCs w:val="24"/>
        </w:rPr>
      </w:pPr>
    </w:p>
    <w:p w:rsidR="008F2E8E" w:rsidRDefault="008F2E8E">
      <w:pPr>
        <w:jc w:val="center"/>
        <w:rPr>
          <w:b/>
          <w:szCs w:val="24"/>
        </w:rPr>
      </w:pPr>
    </w:p>
    <w:p w:rsidR="008F2E8E" w:rsidRDefault="008F2E8E">
      <w:pPr>
        <w:rPr>
          <w:b/>
          <w:szCs w:val="24"/>
        </w:rPr>
      </w:pPr>
    </w:p>
    <w:p w:rsidR="008F2E8E" w:rsidRDefault="00475790">
      <w:pPr>
        <w:rPr>
          <w:b/>
          <w:szCs w:val="24"/>
        </w:rPr>
      </w:pPr>
      <w:r>
        <w:rPr>
          <w:rFonts w:ascii="Arial" w:hAnsi="Arial"/>
          <w:b/>
          <w:szCs w:val="24"/>
        </w:rPr>
        <w:t>Tisztelt Képviselő- testület!</w:t>
      </w:r>
    </w:p>
    <w:p w:rsidR="008F2E8E" w:rsidRDefault="008F2E8E">
      <w:pPr>
        <w:rPr>
          <w:rFonts w:ascii="Arial" w:hAnsi="Arial"/>
          <w:szCs w:val="24"/>
        </w:rPr>
      </w:pPr>
    </w:p>
    <w:p w:rsidR="008F2E8E" w:rsidRDefault="00475790">
      <w:pPr>
        <w:rPr>
          <w:szCs w:val="24"/>
        </w:rPr>
      </w:pPr>
      <w:r>
        <w:rPr>
          <w:rFonts w:ascii="Arial" w:hAnsi="Arial"/>
          <w:szCs w:val="24"/>
        </w:rPr>
        <w:t xml:space="preserve">A </w:t>
      </w:r>
      <w:proofErr w:type="spellStart"/>
      <w:r>
        <w:rPr>
          <w:rFonts w:ascii="Arial" w:hAnsi="Arial"/>
          <w:szCs w:val="24"/>
        </w:rPr>
        <w:t>Divinus</w:t>
      </w:r>
      <w:proofErr w:type="spellEnd"/>
      <w:r>
        <w:rPr>
          <w:rFonts w:ascii="Arial" w:hAnsi="Arial"/>
          <w:szCs w:val="24"/>
        </w:rPr>
        <w:t xml:space="preserve"> Befektetési Alapkezelő </w:t>
      </w:r>
      <w:proofErr w:type="spellStart"/>
      <w:r>
        <w:rPr>
          <w:rFonts w:ascii="Arial" w:hAnsi="Arial"/>
          <w:szCs w:val="24"/>
        </w:rPr>
        <w:t>Zrt</w:t>
      </w:r>
      <w:proofErr w:type="spellEnd"/>
      <w:r>
        <w:rPr>
          <w:rFonts w:ascii="Arial" w:hAnsi="Arial"/>
          <w:szCs w:val="24"/>
        </w:rPr>
        <w:t xml:space="preserve">. által képviselt Aranypart Ingatlanfejlesztő Alap a Balatonberény belterület 657/20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 xml:space="preserve">-ú ingatlant érintően a településrendezési eszközök módosítását kezdeményezték, melyet Balatonberény Község Önkormányzatának Képviselő-testülete a 76/2021. (VI.28.) számú határozatában támogatta és településrendezési szerződést kötött a </w:t>
      </w:r>
      <w:proofErr w:type="spellStart"/>
      <w:r>
        <w:rPr>
          <w:rFonts w:ascii="Arial" w:hAnsi="Arial"/>
          <w:szCs w:val="24"/>
        </w:rPr>
        <w:t>Divinus</w:t>
      </w:r>
      <w:proofErr w:type="spellEnd"/>
      <w:r>
        <w:rPr>
          <w:rFonts w:ascii="Arial" w:hAnsi="Arial"/>
          <w:szCs w:val="24"/>
        </w:rPr>
        <w:t xml:space="preserve"> Befektetési Alapkezelő </w:t>
      </w:r>
      <w:proofErr w:type="spellStart"/>
      <w:r>
        <w:rPr>
          <w:rFonts w:ascii="Arial" w:hAnsi="Arial"/>
          <w:szCs w:val="24"/>
        </w:rPr>
        <w:t>Zrt</w:t>
      </w:r>
      <w:proofErr w:type="spellEnd"/>
      <w:r>
        <w:rPr>
          <w:rFonts w:ascii="Arial" w:hAnsi="Arial"/>
          <w:szCs w:val="24"/>
        </w:rPr>
        <w:t>.-</w:t>
      </w:r>
      <w:proofErr w:type="spellStart"/>
      <w:r>
        <w:rPr>
          <w:rFonts w:ascii="Arial" w:hAnsi="Arial"/>
          <w:szCs w:val="24"/>
        </w:rPr>
        <w:t>vel</w:t>
      </w:r>
      <w:proofErr w:type="spellEnd"/>
      <w:r>
        <w:rPr>
          <w:rFonts w:ascii="Arial" w:hAnsi="Arial"/>
          <w:szCs w:val="24"/>
        </w:rPr>
        <w:t>, mint beruházóval.</w:t>
      </w:r>
    </w:p>
    <w:p w:rsidR="008F2E8E" w:rsidRDefault="008F2E8E">
      <w:pPr>
        <w:rPr>
          <w:rFonts w:ascii="Arial" w:hAnsi="Arial"/>
          <w:szCs w:val="24"/>
        </w:rPr>
      </w:pPr>
    </w:p>
    <w:p w:rsidR="008F2E8E" w:rsidRDefault="00475790">
      <w:pPr>
        <w:overflowPunct w:val="0"/>
        <w:textAlignment w:val="auto"/>
        <w:rPr>
          <w:szCs w:val="24"/>
        </w:rPr>
      </w:pPr>
      <w:r>
        <w:rPr>
          <w:rFonts w:ascii="Arial" w:hAnsi="Arial"/>
          <w:szCs w:val="24"/>
        </w:rPr>
        <w:t xml:space="preserve">A Berényi Sziget Kft. a Balatonberény belterület 658/3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 xml:space="preserve">-ú ingatlant érintően szintén a településrendezési eszközök módosítását kezdeményezték. Balatonberény Község Önkormányzatának Képviselő-testülete a 22/2022. (I.27.) számú határozatában </w:t>
      </w:r>
      <w:r>
        <w:rPr>
          <w:rFonts w:ascii="Arial" w:eastAsiaTheme="minorHAnsi" w:hAnsi="Arial"/>
          <w:szCs w:val="24"/>
          <w:lang w:eastAsia="en-US"/>
          <w14:ligatures w14:val="standardContextual"/>
        </w:rPr>
        <w:t xml:space="preserve">megismerte a </w:t>
      </w:r>
      <w:proofErr w:type="spellStart"/>
      <w:r>
        <w:rPr>
          <w:rFonts w:ascii="Arial" w:eastAsiaTheme="minorHAnsi" w:hAnsi="Arial"/>
          <w:szCs w:val="24"/>
          <w:lang w:eastAsia="en-US"/>
          <w14:ligatures w14:val="standardContextual"/>
        </w:rPr>
        <w:t>Divinus</w:t>
      </w:r>
      <w:proofErr w:type="spellEnd"/>
      <w:r>
        <w:rPr>
          <w:rFonts w:ascii="Arial" w:eastAsiaTheme="minorHAnsi" w:hAnsi="Arial"/>
          <w:szCs w:val="24"/>
          <w:lang w:eastAsia="en-US"/>
          <w14:ligatures w14:val="standardContextual"/>
        </w:rPr>
        <w:t xml:space="preserve"> Befektetési Alapkezelő </w:t>
      </w:r>
      <w:proofErr w:type="spellStart"/>
      <w:r>
        <w:rPr>
          <w:rFonts w:ascii="Arial" w:eastAsiaTheme="minorHAnsi" w:hAnsi="Arial"/>
          <w:szCs w:val="24"/>
          <w:lang w:eastAsia="en-US"/>
          <w14:ligatures w14:val="standardContextual"/>
        </w:rPr>
        <w:t>Zrt</w:t>
      </w:r>
      <w:proofErr w:type="spellEnd"/>
      <w:r>
        <w:rPr>
          <w:rFonts w:ascii="Arial" w:eastAsiaTheme="minorHAnsi" w:hAnsi="Arial"/>
          <w:szCs w:val="24"/>
          <w:lang w:eastAsia="en-US"/>
          <w14:ligatures w14:val="standardContextual"/>
        </w:rPr>
        <w:t>. által képviselt Aranypart Ingatlanfejlesztő Alap TRE módosításra irányuló kérelme alapján indult eljárás kapcsán a Berényi Sziget Kft-</w:t>
      </w:r>
      <w:proofErr w:type="spellStart"/>
      <w:r>
        <w:rPr>
          <w:rFonts w:ascii="Arial" w:eastAsiaTheme="minorHAnsi" w:hAnsi="Arial"/>
          <w:szCs w:val="24"/>
          <w:lang w:eastAsia="en-US"/>
          <w14:ligatures w14:val="standardContextual"/>
        </w:rPr>
        <w:t>vel</w:t>
      </w:r>
      <w:proofErr w:type="spellEnd"/>
      <w:r>
        <w:rPr>
          <w:rFonts w:ascii="Arial" w:eastAsiaTheme="minorHAnsi" w:hAnsi="Arial"/>
          <w:szCs w:val="24"/>
          <w:lang w:eastAsia="en-US"/>
          <w14:ligatures w14:val="standardContextual"/>
        </w:rPr>
        <w:t xml:space="preserve"> kötendő településrendezési szerződés tartalmát, azzal egyetértett, és megkötötte a településr</w:t>
      </w:r>
      <w:r>
        <w:rPr>
          <w:rFonts w:ascii="Arial" w:hAnsi="Arial"/>
          <w:szCs w:val="24"/>
        </w:rPr>
        <w:t xml:space="preserve">endezési szerződést. </w:t>
      </w:r>
    </w:p>
    <w:p w:rsidR="008F2E8E" w:rsidRDefault="008F2E8E">
      <w:pPr>
        <w:overflowPunct w:val="0"/>
        <w:textAlignment w:val="auto"/>
        <w:rPr>
          <w:rFonts w:ascii="Arial" w:hAnsi="Arial"/>
          <w:szCs w:val="24"/>
        </w:rPr>
      </w:pPr>
    </w:p>
    <w:p w:rsidR="008F2E8E" w:rsidRDefault="00475790">
      <w:pPr>
        <w:overflowPunct w:val="0"/>
        <w:textAlignment w:val="auto"/>
        <w:rPr>
          <w:szCs w:val="24"/>
        </w:rPr>
      </w:pPr>
      <w:r>
        <w:rPr>
          <w:rFonts w:ascii="Arial" w:hAnsi="Arial"/>
          <w:szCs w:val="24"/>
        </w:rPr>
        <w:t>A továbbiakban együttesen beruházók.</w:t>
      </w:r>
    </w:p>
    <w:p w:rsidR="008F2E8E" w:rsidRDefault="008F2E8E">
      <w:pPr>
        <w:overflowPunct w:val="0"/>
        <w:textAlignment w:val="auto"/>
        <w:rPr>
          <w:rFonts w:ascii="Arial" w:hAnsi="Arial"/>
          <w:szCs w:val="24"/>
        </w:rPr>
      </w:pPr>
    </w:p>
    <w:p w:rsidR="008F2E8E" w:rsidRDefault="00475790">
      <w:pPr>
        <w:overflowPunct w:val="0"/>
        <w:textAlignment w:val="auto"/>
        <w:rPr>
          <w:szCs w:val="24"/>
        </w:rPr>
      </w:pPr>
      <w:r>
        <w:rPr>
          <w:rFonts w:ascii="Arial" w:hAnsi="Arial"/>
          <w:szCs w:val="24"/>
        </w:rPr>
        <w:t xml:space="preserve">A KÉSZ Közmű és Energetikai Tervező Kft. a Balatonberény belterület 657/20, 658/3, 660/17 és a 660/18-20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 xml:space="preserve">-ú ingatlanokra vonatkozóan elkészítette a telepítési tanulmánytervet. </w:t>
      </w:r>
    </w:p>
    <w:p w:rsidR="008F2E8E" w:rsidRDefault="008F2E8E">
      <w:pPr>
        <w:overflowPunct w:val="0"/>
        <w:textAlignment w:val="auto"/>
        <w:rPr>
          <w:rFonts w:ascii="Arial" w:hAnsi="Arial"/>
          <w:szCs w:val="24"/>
        </w:rPr>
      </w:pPr>
    </w:p>
    <w:p w:rsidR="008F2E8E" w:rsidRDefault="00475790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eastAsiaTheme="minorHAnsi" w:hAnsi="Arial"/>
          <w:szCs w:val="24"/>
          <w:lang w:eastAsia="en-US"/>
          <w14:ligatures w14:val="standardContextual"/>
        </w:rPr>
        <w:t xml:space="preserve">A telepítési tanulmánytervben a terület jellemzően lakóterületként történő beépítésének </w:t>
      </w:r>
      <w:proofErr w:type="gramStart"/>
      <w:r>
        <w:rPr>
          <w:rFonts w:ascii="Arial" w:eastAsiaTheme="minorHAnsi" w:hAnsi="Arial"/>
          <w:szCs w:val="24"/>
          <w:lang w:eastAsia="en-US"/>
          <w14:ligatures w14:val="standardContextual"/>
        </w:rPr>
        <w:t>koncepciója</w:t>
      </w:r>
      <w:proofErr w:type="gramEnd"/>
      <w:r>
        <w:rPr>
          <w:rFonts w:ascii="Arial" w:eastAsiaTheme="minorHAnsi" w:hAnsi="Arial"/>
          <w:szCs w:val="24"/>
          <w:lang w:eastAsia="en-US"/>
          <w14:ligatures w14:val="standardContextual"/>
        </w:rPr>
        <w:t xml:space="preserve"> került kidolgozásra a beruházók és az önkormányzat között megkötött településrendezési szerződésben foglalt alapján.</w:t>
      </w:r>
    </w:p>
    <w:p w:rsidR="008F2E8E" w:rsidRDefault="008F2E8E">
      <w:pPr>
        <w:rPr>
          <w:rFonts w:ascii="Arial" w:hAnsi="Arial"/>
          <w:szCs w:val="24"/>
        </w:rPr>
      </w:pPr>
    </w:p>
    <w:p w:rsidR="008F2E8E" w:rsidRDefault="00475790">
      <w:pPr>
        <w:suppressAutoHyphens/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A helyi építési szabályzatáról szóló Balatonberény Község Önkormányzata Képviselő-testületének 1/2019. (I.9.) önkormányzati rendelete a Balatonberény 657/20 és 658/3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 xml:space="preserve">-ú ingatlanokat (a továbbiakban: tárgyi ingatlanok) Üü-1 jelű üdülőházas </w:t>
      </w:r>
      <w:proofErr w:type="gramStart"/>
      <w:r>
        <w:rPr>
          <w:rFonts w:ascii="Arial" w:hAnsi="Arial"/>
          <w:szCs w:val="24"/>
        </w:rPr>
        <w:t>terület építési</w:t>
      </w:r>
      <w:proofErr w:type="gramEnd"/>
      <w:r>
        <w:rPr>
          <w:rFonts w:ascii="Arial" w:hAnsi="Arial"/>
          <w:szCs w:val="24"/>
        </w:rPr>
        <w:t xml:space="preserve"> övezetbe sorolja, ahol kettőnél több üdülőegységet magába foglaló üdülő rendeltetésű épület, üdülőtábor és kemping alakítható ki. A beruházók a tárgyi ingatlanokon lakórendeltetést szeretnének. A településrendezési eszközök módosítása során a tárgyi ingatlanok </w:t>
      </w:r>
      <w:r>
        <w:rPr>
          <w:rFonts w:ascii="Arial" w:eastAsiaTheme="minorHAnsi" w:hAnsi="Arial"/>
          <w:szCs w:val="24"/>
          <w:lang w:eastAsia="en-US"/>
          <w14:ligatures w14:val="standardContextual"/>
        </w:rPr>
        <w:t>üdülőházas terület (</w:t>
      </w:r>
      <w:proofErr w:type="spellStart"/>
      <w:r>
        <w:rPr>
          <w:rFonts w:ascii="Arial" w:eastAsiaTheme="minorHAnsi" w:hAnsi="Arial"/>
          <w:szCs w:val="24"/>
          <w:lang w:eastAsia="en-US"/>
          <w14:ligatures w14:val="standardContextual"/>
        </w:rPr>
        <w:t>Üü</w:t>
      </w:r>
      <w:proofErr w:type="spellEnd"/>
      <w:r>
        <w:rPr>
          <w:rFonts w:ascii="Arial" w:eastAsiaTheme="minorHAnsi" w:hAnsi="Arial"/>
          <w:szCs w:val="24"/>
          <w:lang w:eastAsia="en-US"/>
          <w14:ligatures w14:val="standardContextual"/>
        </w:rPr>
        <w:t>) területfelhasználásból településközpont vegyes terület (</w:t>
      </w:r>
      <w:proofErr w:type="spellStart"/>
      <w:r>
        <w:rPr>
          <w:rFonts w:ascii="Arial" w:eastAsiaTheme="minorHAnsi" w:hAnsi="Arial"/>
          <w:szCs w:val="24"/>
          <w:lang w:eastAsia="en-US"/>
          <w14:ligatures w14:val="standardContextual"/>
        </w:rPr>
        <w:t>Vt</w:t>
      </w:r>
      <w:proofErr w:type="spellEnd"/>
      <w:r>
        <w:rPr>
          <w:rFonts w:ascii="Arial" w:eastAsiaTheme="minorHAnsi" w:hAnsi="Arial"/>
          <w:szCs w:val="24"/>
          <w:lang w:eastAsia="en-US"/>
          <w14:ligatures w14:val="standardContextual"/>
        </w:rPr>
        <w:t>) területfelhasználásba és építési övezetbe kerülnek</w:t>
      </w:r>
      <w:r>
        <w:rPr>
          <w:rFonts w:ascii="Arial" w:hAnsi="Arial"/>
          <w:szCs w:val="24"/>
        </w:rPr>
        <w:t xml:space="preserve">, a Befektetők által kezdeményezett lakórendeltetés biztosítása céljával, de a </w:t>
      </w:r>
      <w:r w:rsidRPr="00293979">
        <w:rPr>
          <w:rFonts w:ascii="Arial" w:hAnsi="Arial"/>
          <w:b/>
          <w:szCs w:val="24"/>
        </w:rPr>
        <w:t>meglévő beépítési paraméterek megtartása mellett.</w:t>
      </w:r>
      <w:r>
        <w:rPr>
          <w:rFonts w:ascii="Arial" w:hAnsi="Arial"/>
          <w:szCs w:val="24"/>
        </w:rPr>
        <w:t xml:space="preserve"> Azaz a </w:t>
      </w:r>
      <w:r>
        <w:rPr>
          <w:rFonts w:ascii="Arial" w:eastAsiaTheme="minorHAnsi" w:hAnsi="Arial"/>
          <w:szCs w:val="24"/>
          <w:lang w:eastAsia="en-US"/>
          <w14:ligatures w14:val="standardContextual"/>
        </w:rPr>
        <w:t xml:space="preserve">területekre jelenleg </w:t>
      </w:r>
      <w:proofErr w:type="gramStart"/>
      <w:r>
        <w:rPr>
          <w:rFonts w:ascii="Arial" w:eastAsiaTheme="minorHAnsi" w:hAnsi="Arial"/>
          <w:szCs w:val="24"/>
          <w:lang w:eastAsia="en-US"/>
          <w14:ligatures w14:val="standardContextual"/>
        </w:rPr>
        <w:t>hatályos</w:t>
      </w:r>
      <w:proofErr w:type="gramEnd"/>
      <w:r>
        <w:rPr>
          <w:rFonts w:ascii="Arial" w:eastAsiaTheme="minorHAnsi" w:hAnsi="Arial"/>
          <w:szCs w:val="24"/>
          <w:lang w:eastAsia="en-US"/>
          <w14:ligatures w14:val="standardContextual"/>
        </w:rPr>
        <w:t xml:space="preserve"> beépítési paraméterek (épületmagasság, beépítési %, legkisebb zöldfelületi %, a legkisebb kialakítható telekterület, elő-, oldal- és hátsókert stb.), nem kerülnek módosításra, azaz az egyes építési övezetek által jelenleg biztosított beépítésintenzitás nem változik</w:t>
      </w:r>
    </w:p>
    <w:p w:rsidR="008F2E8E" w:rsidRDefault="008F2E8E">
      <w:pPr>
        <w:rPr>
          <w:rFonts w:ascii="Arial" w:hAnsi="Arial"/>
          <w:szCs w:val="24"/>
        </w:rPr>
      </w:pPr>
    </w:p>
    <w:p w:rsidR="008F2E8E" w:rsidRDefault="0047579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Fontos felhívni T. Képviselő testület figyelmét az idevonatkozó jogszabályi háttérre:</w:t>
      </w:r>
    </w:p>
    <w:p w:rsidR="008F2E8E" w:rsidRDefault="008F2E8E">
      <w:pPr>
        <w:rPr>
          <w:rFonts w:ascii="Arial" w:hAnsi="Arial"/>
          <w:szCs w:val="24"/>
        </w:rPr>
      </w:pPr>
    </w:p>
    <w:p w:rsidR="008F2E8E" w:rsidRDefault="00475790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/>
          <w:bCs/>
          <w:szCs w:val="24"/>
        </w:rPr>
        <w:t>- Az épített környezet alakításáról és védelméről szóló 1997. évi LXXVIII. törvény 30/</w:t>
      </w:r>
      <w:proofErr w:type="gramStart"/>
      <w:r>
        <w:rPr>
          <w:rFonts w:ascii="Arial" w:hAnsi="Arial"/>
          <w:bCs/>
          <w:szCs w:val="24"/>
        </w:rPr>
        <w:t>A</w:t>
      </w:r>
      <w:proofErr w:type="gramEnd"/>
      <w:r>
        <w:rPr>
          <w:rFonts w:ascii="Arial" w:hAnsi="Arial"/>
          <w:bCs/>
          <w:szCs w:val="24"/>
        </w:rPr>
        <w:t xml:space="preserve">. § </w:t>
      </w:r>
      <w:r>
        <w:rPr>
          <w:rFonts w:ascii="Arial" w:hAnsi="Arial"/>
          <w:szCs w:val="24"/>
        </w:rPr>
        <w:t xml:space="preserve">(3) bekezdés </w:t>
      </w:r>
      <w:proofErr w:type="spellStart"/>
      <w:r>
        <w:rPr>
          <w:rFonts w:ascii="Arial" w:hAnsi="Arial"/>
          <w:szCs w:val="24"/>
        </w:rPr>
        <w:t>bb</w:t>
      </w:r>
      <w:proofErr w:type="spellEnd"/>
      <w:r>
        <w:rPr>
          <w:rFonts w:ascii="Arial" w:hAnsi="Arial"/>
          <w:szCs w:val="24"/>
        </w:rPr>
        <w:t xml:space="preserve">) pontja alapján, </w:t>
      </w:r>
      <w:r>
        <w:rPr>
          <w:rFonts w:ascii="Arial" w:hAnsi="Arial"/>
          <w:szCs w:val="24"/>
          <w:u w:val="single"/>
        </w:rPr>
        <w:t>a településrendezési szerződés tárgya lehet</w:t>
      </w:r>
      <w:r>
        <w:rPr>
          <w:rFonts w:ascii="Arial" w:hAnsi="Arial"/>
          <w:szCs w:val="24"/>
        </w:rPr>
        <w:t xml:space="preserve"> különösen</w:t>
      </w:r>
      <w:r>
        <w:rPr>
          <w:rFonts w:ascii="Arial" w:hAnsi="Arial"/>
          <w:i/>
          <w:iCs/>
          <w:szCs w:val="24"/>
        </w:rPr>
        <w:t xml:space="preserve"> </w:t>
      </w:r>
      <w:r>
        <w:rPr>
          <w:rFonts w:ascii="Arial" w:hAnsi="Arial"/>
          <w:szCs w:val="24"/>
        </w:rPr>
        <w:t xml:space="preserve">azon </w:t>
      </w:r>
      <w:r>
        <w:rPr>
          <w:rFonts w:ascii="Arial" w:hAnsi="Arial"/>
          <w:szCs w:val="24"/>
          <w:u w:val="single"/>
        </w:rPr>
        <w:t>egyéb költségeknek</w:t>
      </w:r>
      <w:r>
        <w:rPr>
          <w:rFonts w:ascii="Arial" w:hAnsi="Arial"/>
          <w:szCs w:val="24"/>
        </w:rPr>
        <w:t xml:space="preserve"> vagy egyéb </w:t>
      </w:r>
      <w:r>
        <w:rPr>
          <w:rFonts w:ascii="Arial" w:hAnsi="Arial"/>
          <w:szCs w:val="24"/>
          <w:u w:val="single"/>
        </w:rPr>
        <w:t>ráfordításoknak a cél megvalósítója általi átvállalása,</w:t>
      </w:r>
      <w:r w:rsidR="00293979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>a cél megvalósításának</w:t>
      </w:r>
      <w:r>
        <w:rPr>
          <w:rFonts w:ascii="Arial" w:hAnsi="Arial"/>
          <w:i/>
          <w:iCs/>
          <w:szCs w:val="24"/>
        </w:rPr>
        <w:t xml:space="preserve"> </w:t>
      </w:r>
      <w:r>
        <w:rPr>
          <w:rFonts w:ascii="Arial" w:hAnsi="Arial"/>
          <w:szCs w:val="24"/>
        </w:rPr>
        <w:t xml:space="preserve">következményei - a szükséges kiszolgáló </w:t>
      </w:r>
      <w:r>
        <w:rPr>
          <w:rFonts w:ascii="Arial" w:hAnsi="Arial"/>
          <w:szCs w:val="24"/>
        </w:rPr>
        <w:lastRenderedPageBreak/>
        <w:t xml:space="preserve">intézmény és infrastruktúra-fejlesztések - </w:t>
      </w:r>
      <w:r>
        <w:rPr>
          <w:rFonts w:ascii="Arial" w:hAnsi="Arial"/>
          <w:szCs w:val="24"/>
          <w:u w:val="single"/>
        </w:rPr>
        <w:t>amelyek megvalósítása, az önkormányzatot terhelné.</w:t>
      </w:r>
    </w:p>
    <w:p w:rsidR="008F2E8E" w:rsidRDefault="00475790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-Az </w:t>
      </w:r>
      <w:proofErr w:type="spellStart"/>
      <w:r>
        <w:rPr>
          <w:rFonts w:ascii="Arial" w:hAnsi="Arial"/>
          <w:szCs w:val="24"/>
        </w:rPr>
        <w:t>Étv</w:t>
      </w:r>
      <w:proofErr w:type="spellEnd"/>
      <w:r>
        <w:rPr>
          <w:rFonts w:ascii="Arial" w:hAnsi="Arial"/>
          <w:szCs w:val="24"/>
        </w:rPr>
        <w:t xml:space="preserve">. 30/A. § (5) bekezdése szerint a (3) bekezdés </w:t>
      </w:r>
      <w:r>
        <w:rPr>
          <w:rFonts w:ascii="Arial" w:hAnsi="Arial"/>
          <w:i/>
          <w:iCs/>
          <w:szCs w:val="24"/>
        </w:rPr>
        <w:t xml:space="preserve">b) </w:t>
      </w:r>
      <w:r>
        <w:rPr>
          <w:rFonts w:ascii="Arial" w:hAnsi="Arial"/>
          <w:szCs w:val="24"/>
        </w:rPr>
        <w:t xml:space="preserve">pontja szerinti szerződésben kikötött vagy vállalt kötelezettségek és a megvalósuló településrendezési cél között településfejlesztési vagy településrendezési összefüggésnek kell lennie. </w:t>
      </w:r>
    </w:p>
    <w:p w:rsidR="008F2E8E" w:rsidRDefault="008F2E8E">
      <w:pPr>
        <w:overflowPunct w:val="0"/>
        <w:textAlignment w:val="auto"/>
        <w:rPr>
          <w:rFonts w:ascii="Arial" w:hAnsi="Arial"/>
          <w:szCs w:val="24"/>
          <w:highlight w:val="yellow"/>
        </w:rPr>
      </w:pPr>
    </w:p>
    <w:p w:rsidR="008F2E8E" w:rsidRDefault="00475790">
      <w:pPr>
        <w:rPr>
          <w:rFonts w:ascii="Arial" w:hAnsi="Arial"/>
          <w:szCs w:val="24"/>
        </w:rPr>
      </w:pPr>
      <w:r>
        <w:rPr>
          <w:rFonts w:ascii="Arial" w:hAnsi="Arial"/>
          <w:bCs/>
          <w:szCs w:val="24"/>
        </w:rPr>
        <w:t xml:space="preserve">Javaslom, hogy a beruházókkal az </w:t>
      </w:r>
      <w:proofErr w:type="spellStart"/>
      <w:r>
        <w:rPr>
          <w:rFonts w:ascii="Arial" w:hAnsi="Arial"/>
          <w:bCs/>
          <w:szCs w:val="24"/>
        </w:rPr>
        <w:t>Étv</w:t>
      </w:r>
      <w:proofErr w:type="spellEnd"/>
      <w:r>
        <w:rPr>
          <w:rFonts w:ascii="Arial" w:hAnsi="Arial"/>
          <w:bCs/>
          <w:szCs w:val="24"/>
        </w:rPr>
        <w:t xml:space="preserve">. 30/A. § (3) bekezdés </w:t>
      </w:r>
      <w:proofErr w:type="spellStart"/>
      <w:r>
        <w:rPr>
          <w:rFonts w:ascii="Arial" w:hAnsi="Arial"/>
          <w:bCs/>
          <w:szCs w:val="24"/>
        </w:rPr>
        <w:t>bb</w:t>
      </w:r>
      <w:proofErr w:type="spellEnd"/>
      <w:r>
        <w:rPr>
          <w:rFonts w:ascii="Arial" w:hAnsi="Arial"/>
          <w:bCs/>
          <w:szCs w:val="24"/>
        </w:rPr>
        <w:t xml:space="preserve">) pontjára tekintettel egyeztetésre kerüljön sor, és az előző jogszabályi hivatkozások alapján, a tárgyalások </w:t>
      </w:r>
      <w:proofErr w:type="gramStart"/>
      <w:r>
        <w:rPr>
          <w:rFonts w:ascii="Arial" w:hAnsi="Arial"/>
          <w:bCs/>
          <w:szCs w:val="24"/>
        </w:rPr>
        <w:t>eredményeként  -</w:t>
      </w:r>
      <w:proofErr w:type="gramEnd"/>
      <w:r>
        <w:rPr>
          <w:rFonts w:ascii="Arial" w:hAnsi="Arial"/>
          <w:bCs/>
          <w:szCs w:val="24"/>
        </w:rPr>
        <w:t xml:space="preserve"> ha szükséges - a megkötött települ</w:t>
      </w:r>
      <w:r w:rsidR="00293979">
        <w:rPr>
          <w:rFonts w:ascii="Arial" w:hAnsi="Arial"/>
          <w:bCs/>
          <w:szCs w:val="24"/>
        </w:rPr>
        <w:t>ésrendezési szerződések kerüljenek</w:t>
      </w:r>
      <w:r>
        <w:rPr>
          <w:rFonts w:ascii="Arial" w:hAnsi="Arial"/>
          <w:bCs/>
          <w:szCs w:val="24"/>
        </w:rPr>
        <w:t xml:space="preserve"> </w:t>
      </w:r>
      <w:proofErr w:type="spellStart"/>
      <w:r>
        <w:rPr>
          <w:rFonts w:ascii="Arial" w:hAnsi="Arial"/>
          <w:bCs/>
          <w:szCs w:val="24"/>
        </w:rPr>
        <w:t>pontosításra</w:t>
      </w:r>
      <w:proofErr w:type="spellEnd"/>
      <w:r>
        <w:rPr>
          <w:rFonts w:ascii="Arial" w:hAnsi="Arial"/>
          <w:bCs/>
          <w:szCs w:val="24"/>
        </w:rPr>
        <w:t>, kiegészítésre.</w:t>
      </w:r>
    </w:p>
    <w:p w:rsidR="008F2E8E" w:rsidRDefault="008F2E8E">
      <w:pPr>
        <w:rPr>
          <w:bCs/>
        </w:rPr>
      </w:pPr>
    </w:p>
    <w:p w:rsidR="008F2E8E" w:rsidRDefault="00475790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A Képviselő-testület korábbi döntése alapján, a módosítással érintett terület</w:t>
      </w:r>
      <w:r w:rsidR="00293979">
        <w:rPr>
          <w:rFonts w:ascii="Arial" w:hAnsi="Arial"/>
          <w:szCs w:val="24"/>
        </w:rPr>
        <w:t xml:space="preserve"> </w:t>
      </w:r>
      <w:r>
        <w:rPr>
          <w:rFonts w:ascii="Arial" w:hAnsi="Arial"/>
          <w:szCs w:val="24"/>
        </w:rPr>
        <w:t xml:space="preserve">lehatárolás tekintetében az Állami </w:t>
      </w:r>
      <w:proofErr w:type="spellStart"/>
      <w:r>
        <w:rPr>
          <w:rFonts w:ascii="Arial" w:hAnsi="Arial"/>
          <w:szCs w:val="24"/>
        </w:rPr>
        <w:t>főépítésszel</w:t>
      </w:r>
      <w:proofErr w:type="spellEnd"/>
      <w:r>
        <w:rPr>
          <w:rFonts w:ascii="Arial" w:hAnsi="Arial"/>
          <w:szCs w:val="24"/>
        </w:rPr>
        <w:t xml:space="preserve"> az egyeztetés megtörtént.</w:t>
      </w:r>
    </w:p>
    <w:p w:rsidR="008F2E8E" w:rsidRDefault="00475790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Ennek alapján javaslom, hogy a csak a tárgyi ingatlanokra vonatkozóan (657/20 és 658/3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 xml:space="preserve">.) kerüljön elfogadásra a telepítési tanulmányterv. </w:t>
      </w:r>
    </w:p>
    <w:p w:rsidR="008F2E8E" w:rsidRDefault="00475790">
      <w:pPr>
        <w:overflowPunct w:val="0"/>
        <w:textAlignment w:val="auto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Javaslom, hogy a Balatonberény 660/17 és a 660/18-20 </w:t>
      </w:r>
      <w:proofErr w:type="spellStart"/>
      <w:r>
        <w:rPr>
          <w:rFonts w:ascii="Arial" w:hAnsi="Arial"/>
          <w:szCs w:val="24"/>
        </w:rPr>
        <w:t>hrsz</w:t>
      </w:r>
      <w:proofErr w:type="spellEnd"/>
      <w:r>
        <w:rPr>
          <w:rFonts w:ascii="Arial" w:hAnsi="Arial"/>
          <w:szCs w:val="24"/>
        </w:rPr>
        <w:t>-ú ingatlanokra vonatkozóan a telepítési tanulmányterv ne kerüljön elfogadásra, hiszen ezen ingatlanok tekintetében kezdeményezés az ingatlanok tulajdonosai részéről, illetőleg a telkeken beruh</w:t>
      </w:r>
      <w:r w:rsidR="00293979">
        <w:rPr>
          <w:rFonts w:ascii="Arial" w:hAnsi="Arial"/>
          <w:szCs w:val="24"/>
        </w:rPr>
        <w:t>ázni szándékozótól nem érkezett, és településrendezési szerződést sem kötöttünk.</w:t>
      </w:r>
    </w:p>
    <w:p w:rsidR="008F2E8E" w:rsidRDefault="008F2E8E">
      <w:pPr>
        <w:rPr>
          <w:rFonts w:ascii="Arial" w:hAnsi="Arial"/>
          <w:szCs w:val="24"/>
        </w:rPr>
      </w:pPr>
    </w:p>
    <w:p w:rsidR="008F2E8E" w:rsidRDefault="008F2E8E">
      <w:pPr>
        <w:rPr>
          <w:rFonts w:ascii="Arial" w:hAnsi="Arial"/>
          <w:szCs w:val="24"/>
        </w:rPr>
      </w:pPr>
    </w:p>
    <w:p w:rsidR="008F2E8E" w:rsidRDefault="00475790">
      <w:pPr>
        <w:pStyle w:val="Szvegtrzs"/>
        <w:jc w:val="center"/>
        <w:rPr>
          <w:rFonts w:ascii="Times New Roman" w:hAnsi="Times New Roman"/>
          <w:b/>
          <w:bCs w:val="0"/>
          <w:color w:val="00000A"/>
          <w:sz w:val="24"/>
          <w:szCs w:val="24"/>
        </w:rPr>
      </w:pPr>
      <w:r>
        <w:rPr>
          <w:b/>
          <w:bCs w:val="0"/>
          <w:color w:val="00000A"/>
          <w:sz w:val="24"/>
          <w:szCs w:val="24"/>
        </w:rPr>
        <w:t>Határozati javaslat</w:t>
      </w:r>
    </w:p>
    <w:p w:rsidR="008F2E8E" w:rsidRDefault="008F2E8E">
      <w:pPr>
        <w:pStyle w:val="Szvegtrzs"/>
        <w:jc w:val="center"/>
        <w:rPr>
          <w:b/>
          <w:bCs w:val="0"/>
          <w:color w:val="00000A"/>
          <w:sz w:val="24"/>
          <w:szCs w:val="24"/>
        </w:rPr>
      </w:pPr>
    </w:p>
    <w:p w:rsidR="008F2E8E" w:rsidRDefault="00475790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Balatonberény Község Önkormányzatának Képviselő-testülete megismerte és megtárgyalta Balatonberény településrendezési eszközeinek (TRE) módosítása megalapozásához </w:t>
      </w:r>
      <w:r>
        <w:rPr>
          <w:rFonts w:ascii="Arial" w:eastAsia="Calibri" w:hAnsi="Arial"/>
          <w:bCs/>
          <w:szCs w:val="24"/>
        </w:rPr>
        <w:t xml:space="preserve">elkészített Telepítési tanulmányterv elfogadásáról szóló előterjesztést, a Balatonberény Község Balaton-part és a Hétvezér utca között fekvő 657/20, 658/3, 660/17 és 660/18-20 </w:t>
      </w:r>
      <w:proofErr w:type="spellStart"/>
      <w:r>
        <w:rPr>
          <w:rFonts w:ascii="Arial" w:eastAsia="Calibri" w:hAnsi="Arial"/>
          <w:bCs/>
          <w:szCs w:val="24"/>
        </w:rPr>
        <w:t>hrsz</w:t>
      </w:r>
      <w:proofErr w:type="spellEnd"/>
      <w:r>
        <w:rPr>
          <w:rFonts w:ascii="Arial" w:eastAsia="Calibri" w:hAnsi="Arial"/>
          <w:bCs/>
          <w:szCs w:val="24"/>
        </w:rPr>
        <w:t>-ú területek vonatkozásában</w:t>
      </w:r>
      <w:r w:rsidR="00293979">
        <w:rPr>
          <w:rFonts w:ascii="Arial" w:eastAsia="Calibri" w:hAnsi="Arial"/>
          <w:bCs/>
          <w:szCs w:val="24"/>
        </w:rPr>
        <w:t>,</w:t>
      </w:r>
      <w:r>
        <w:rPr>
          <w:rFonts w:ascii="Arial" w:eastAsia="Calibri" w:hAnsi="Arial"/>
          <w:bCs/>
          <w:szCs w:val="24"/>
        </w:rPr>
        <w:t xml:space="preserve"> és az </w:t>
      </w:r>
      <w:r>
        <w:rPr>
          <w:rFonts w:ascii="Arial" w:eastAsia="Calibri" w:hAnsi="Arial" w:cs="ArialNarrow,Bold"/>
          <w:bCs/>
          <w:szCs w:val="24"/>
        </w:rPr>
        <w:t>alábbi döntést hozza:</w:t>
      </w:r>
      <w:r>
        <w:rPr>
          <w:rFonts w:ascii="Arial" w:hAnsi="Arial"/>
          <w:szCs w:val="24"/>
        </w:rPr>
        <w:t xml:space="preserve"> </w:t>
      </w:r>
    </w:p>
    <w:p w:rsidR="008F2E8E" w:rsidRDefault="008F2E8E">
      <w:pPr>
        <w:tabs>
          <w:tab w:val="left" w:pos="360"/>
        </w:tabs>
        <w:rPr>
          <w:rFonts w:ascii="Arial" w:hAnsi="Arial"/>
          <w:szCs w:val="24"/>
        </w:rPr>
      </w:pPr>
    </w:p>
    <w:p w:rsidR="008F2E8E" w:rsidRPr="00634525" w:rsidRDefault="00475790" w:rsidP="00634525">
      <w:pPr>
        <w:pStyle w:val="Listaszerbekezds"/>
        <w:numPr>
          <w:ilvl w:val="0"/>
          <w:numId w:val="3"/>
        </w:numPr>
        <w:shd w:val="clear" w:color="auto" w:fill="FFFFFF"/>
        <w:tabs>
          <w:tab w:val="left" w:pos="567"/>
        </w:tabs>
        <w:overflowPunct w:val="0"/>
        <w:ind w:left="0" w:firstLine="0"/>
        <w:textAlignment w:val="auto"/>
        <w:rPr>
          <w:rFonts w:ascii="Arial" w:hAnsi="Arial"/>
          <w:szCs w:val="24"/>
        </w:rPr>
      </w:pPr>
      <w:r w:rsidRPr="00634525">
        <w:rPr>
          <w:rFonts w:ascii="Arial" w:hAnsi="Arial"/>
          <w:bCs/>
          <w:szCs w:val="24"/>
        </w:rPr>
        <w:t>Balatonberény Község Önkormányzatának Képviselő-testülete a Balatonberény 657/20 és 658/</w:t>
      </w:r>
      <w:r w:rsidR="00293979" w:rsidRPr="00634525">
        <w:rPr>
          <w:rFonts w:ascii="Arial" w:hAnsi="Arial"/>
          <w:bCs/>
          <w:szCs w:val="24"/>
        </w:rPr>
        <w:t xml:space="preserve">3 </w:t>
      </w:r>
      <w:proofErr w:type="spellStart"/>
      <w:r w:rsidR="00293979" w:rsidRPr="00634525">
        <w:rPr>
          <w:rFonts w:ascii="Arial" w:hAnsi="Arial"/>
          <w:bCs/>
          <w:szCs w:val="24"/>
        </w:rPr>
        <w:t>hrsz</w:t>
      </w:r>
      <w:proofErr w:type="spellEnd"/>
      <w:r w:rsidR="00293979" w:rsidRPr="00634525">
        <w:rPr>
          <w:rFonts w:ascii="Arial" w:hAnsi="Arial"/>
          <w:bCs/>
          <w:szCs w:val="24"/>
        </w:rPr>
        <w:t>-ú területekre elfogadja</w:t>
      </w:r>
      <w:r w:rsidRPr="00634525">
        <w:rPr>
          <w:rFonts w:ascii="Arial" w:hAnsi="Arial"/>
          <w:bCs/>
          <w:szCs w:val="24"/>
        </w:rPr>
        <w:t xml:space="preserve"> a Balatonberény Településrendezési Eszközeinek (TRE) módosítása megalapozásához, a Balaton-part és a Hétvezér utca között fekvő területre – a fejlesztés megvalósítása érdekében - a településrendezési eszközök módosításának előkészítésére összeállított Telepítési tanulmánytervet. </w:t>
      </w:r>
    </w:p>
    <w:p w:rsidR="008F2E8E" w:rsidRDefault="008F2E8E">
      <w:pPr>
        <w:shd w:val="clear" w:color="auto" w:fill="FFFFFF"/>
        <w:overflowPunct w:val="0"/>
        <w:ind w:left="426"/>
        <w:textAlignment w:val="auto"/>
        <w:rPr>
          <w:rFonts w:ascii="Arial" w:hAnsi="Arial"/>
          <w:bCs/>
          <w:szCs w:val="24"/>
        </w:rPr>
      </w:pPr>
    </w:p>
    <w:p w:rsidR="008F2E8E" w:rsidRPr="00634525" w:rsidRDefault="00475790" w:rsidP="00634525">
      <w:pPr>
        <w:pStyle w:val="Listaszerbekezds"/>
        <w:numPr>
          <w:ilvl w:val="0"/>
          <w:numId w:val="3"/>
        </w:numPr>
        <w:shd w:val="clear" w:color="auto" w:fill="FFFFFF"/>
        <w:overflowPunct w:val="0"/>
        <w:ind w:left="0" w:firstLine="0"/>
        <w:textAlignment w:val="auto"/>
        <w:rPr>
          <w:bCs/>
        </w:rPr>
      </w:pPr>
      <w:r w:rsidRPr="00634525">
        <w:rPr>
          <w:rFonts w:ascii="Arial" w:hAnsi="Arial"/>
          <w:bCs/>
          <w:szCs w:val="24"/>
        </w:rPr>
        <w:t xml:space="preserve">Balatonberény Község Önkormányzatának Képviselő-testülete a Balatonberény 660/17 és a 660/18-20 </w:t>
      </w:r>
      <w:proofErr w:type="spellStart"/>
      <w:r w:rsidRPr="00634525">
        <w:rPr>
          <w:rFonts w:ascii="Arial" w:hAnsi="Arial"/>
          <w:bCs/>
          <w:szCs w:val="24"/>
        </w:rPr>
        <w:t>hrsz</w:t>
      </w:r>
      <w:proofErr w:type="spellEnd"/>
      <w:r w:rsidRPr="00634525">
        <w:rPr>
          <w:rFonts w:ascii="Arial" w:hAnsi="Arial"/>
          <w:bCs/>
          <w:szCs w:val="24"/>
        </w:rPr>
        <w:t>-ú területekre vonatkozóan Balatonberény településrendezési eszközeit nem módosítja.</w:t>
      </w:r>
    </w:p>
    <w:p w:rsidR="008F2E8E" w:rsidRDefault="008F2E8E">
      <w:pPr>
        <w:pStyle w:val="Listaszerbekezds"/>
        <w:rPr>
          <w:rFonts w:ascii="Arial" w:hAnsi="Arial"/>
          <w:bCs/>
          <w:szCs w:val="24"/>
        </w:rPr>
      </w:pPr>
    </w:p>
    <w:p w:rsidR="008F2E8E" w:rsidRDefault="00475790" w:rsidP="00293979">
      <w:pPr>
        <w:numPr>
          <w:ilvl w:val="0"/>
          <w:numId w:val="3"/>
        </w:numPr>
        <w:shd w:val="clear" w:color="auto" w:fill="FFFFFF"/>
        <w:overflowPunct w:val="0"/>
        <w:ind w:left="0" w:firstLine="0"/>
        <w:textAlignment w:val="auto"/>
        <w:rPr>
          <w:rFonts w:ascii="Arial" w:hAnsi="Arial"/>
          <w:szCs w:val="24"/>
        </w:rPr>
      </w:pPr>
      <w:r>
        <w:rPr>
          <w:rFonts w:ascii="Arial" w:hAnsi="Arial"/>
          <w:bCs/>
          <w:szCs w:val="24"/>
        </w:rPr>
        <w:t xml:space="preserve">Balatonberény </w:t>
      </w:r>
      <w:r>
        <w:rPr>
          <w:rFonts w:ascii="Arial" w:hAnsi="Arial"/>
          <w:szCs w:val="24"/>
        </w:rPr>
        <w:t>Község Önkormányzatának Képviselő-testülete fe</w:t>
      </w:r>
      <w:r w:rsidR="00293979">
        <w:rPr>
          <w:rFonts w:ascii="Arial" w:hAnsi="Arial"/>
          <w:szCs w:val="24"/>
        </w:rPr>
        <w:t>lkéri a polgármestert, hogy az a)</w:t>
      </w:r>
      <w:r>
        <w:rPr>
          <w:rFonts w:ascii="Arial" w:hAnsi="Arial"/>
          <w:szCs w:val="24"/>
        </w:rPr>
        <w:t xml:space="preserve"> pontban meghatározott ingatlanokra, a beruházás megvalósítása</w:t>
      </w:r>
      <w:r w:rsidR="00634525">
        <w:rPr>
          <w:rFonts w:ascii="Arial" w:hAnsi="Arial"/>
          <w:szCs w:val="24"/>
        </w:rPr>
        <w:t xml:space="preserve"> érdekében készítse elő az egyeztetést</w:t>
      </w:r>
      <w:r>
        <w:rPr>
          <w:rFonts w:ascii="Arial" w:hAnsi="Arial"/>
          <w:szCs w:val="24"/>
        </w:rPr>
        <w:t xml:space="preserve"> </w:t>
      </w:r>
      <w:r w:rsidR="00634525">
        <w:rPr>
          <w:rFonts w:ascii="Arial" w:hAnsi="Arial"/>
          <w:szCs w:val="24"/>
        </w:rPr>
        <w:t>a képviselő-testület és a beruházók között</w:t>
      </w:r>
      <w:r>
        <w:rPr>
          <w:rFonts w:ascii="Arial" w:hAnsi="Arial"/>
          <w:szCs w:val="24"/>
        </w:rPr>
        <w:t>, azon egyéb költségeknek vagy egy</w:t>
      </w:r>
      <w:r w:rsidR="00293979">
        <w:rPr>
          <w:rFonts w:ascii="Arial" w:hAnsi="Arial"/>
          <w:szCs w:val="24"/>
        </w:rPr>
        <w:t>éb ráfordításoknak a beruházó</w:t>
      </w:r>
      <w:r>
        <w:rPr>
          <w:rFonts w:ascii="Arial" w:hAnsi="Arial"/>
          <w:szCs w:val="24"/>
        </w:rPr>
        <w:t xml:space="preserve"> általi átvállalásáról, amelyek a cél megvalósításának következményei - a szükséges kiszolgáló intézmény és infrastruktúra-fejlesztések -, és azok megvalósítása az önkormányzatot terhelné.</w:t>
      </w:r>
    </w:p>
    <w:p w:rsidR="008F2E8E" w:rsidRDefault="008F2E8E">
      <w:pPr>
        <w:shd w:val="clear" w:color="auto" w:fill="FFFFFF"/>
        <w:overflowPunct w:val="0"/>
        <w:ind w:left="1080"/>
        <w:textAlignment w:val="auto"/>
        <w:rPr>
          <w:rFonts w:ascii="Arial" w:hAnsi="Arial"/>
          <w:szCs w:val="24"/>
        </w:rPr>
      </w:pPr>
    </w:p>
    <w:p w:rsidR="008F2E8E" w:rsidRDefault="008F2E8E">
      <w:pPr>
        <w:shd w:val="clear" w:color="auto" w:fill="FFFFFF"/>
        <w:ind w:right="851"/>
        <w:rPr>
          <w:rFonts w:ascii="Arial" w:hAnsi="Arial"/>
          <w:bCs/>
          <w:szCs w:val="24"/>
        </w:rPr>
      </w:pPr>
    </w:p>
    <w:p w:rsidR="008F2E8E" w:rsidRDefault="008F2E8E">
      <w:pPr>
        <w:shd w:val="clear" w:color="auto" w:fill="FFFFFF"/>
        <w:ind w:right="851"/>
        <w:rPr>
          <w:rFonts w:ascii="Arial" w:hAnsi="Arial"/>
          <w:bCs/>
          <w:szCs w:val="24"/>
        </w:rPr>
      </w:pPr>
    </w:p>
    <w:p w:rsidR="008F2E8E" w:rsidRDefault="00475790">
      <w:pPr>
        <w:shd w:val="clear" w:color="auto" w:fill="FFFFFF"/>
        <w:tabs>
          <w:tab w:val="left" w:pos="720"/>
        </w:tabs>
        <w:ind w:right="851"/>
        <w:rPr>
          <w:bCs/>
        </w:rPr>
      </w:pPr>
      <w:r>
        <w:rPr>
          <w:rFonts w:ascii="Arial" w:hAnsi="Arial"/>
          <w:b/>
          <w:szCs w:val="24"/>
          <w:u w:val="single"/>
        </w:rPr>
        <w:lastRenderedPageBreak/>
        <w:t xml:space="preserve">Felelős: </w:t>
      </w:r>
      <w:r>
        <w:rPr>
          <w:rFonts w:ascii="Arial" w:hAnsi="Arial"/>
          <w:szCs w:val="24"/>
        </w:rPr>
        <w:t>Druskóczi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 polgármester</w:t>
      </w:r>
    </w:p>
    <w:p w:rsidR="008F2E8E" w:rsidRDefault="00475790">
      <w:pPr>
        <w:shd w:val="clear" w:color="auto" w:fill="FFFFFF"/>
        <w:tabs>
          <w:tab w:val="left" w:pos="720"/>
        </w:tabs>
        <w:ind w:right="851"/>
        <w:rPr>
          <w:rFonts w:ascii="Arial" w:hAnsi="Arial"/>
          <w:szCs w:val="24"/>
        </w:rPr>
      </w:pPr>
      <w:r>
        <w:rPr>
          <w:rFonts w:ascii="Arial" w:hAnsi="Arial"/>
          <w:b/>
          <w:szCs w:val="24"/>
          <w:u w:val="single"/>
        </w:rPr>
        <w:t>Határidő:</w:t>
      </w:r>
      <w:r>
        <w:rPr>
          <w:rFonts w:ascii="Arial" w:hAnsi="Arial"/>
          <w:szCs w:val="24"/>
        </w:rPr>
        <w:t xml:space="preserve"> a döntést követő 60 napon belül.</w:t>
      </w:r>
    </w:p>
    <w:p w:rsidR="008F2E8E" w:rsidRDefault="00475790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p w:rsidR="008F2E8E" w:rsidRDefault="008F2E8E">
      <w:pPr>
        <w:tabs>
          <w:tab w:val="center" w:pos="1843"/>
          <w:tab w:val="center" w:pos="7088"/>
        </w:tabs>
        <w:ind w:right="70"/>
        <w:rPr>
          <w:rFonts w:eastAsia="MS Mincho"/>
          <w:bCs/>
          <w:lang w:eastAsia="ja-JP"/>
        </w:rPr>
      </w:pPr>
    </w:p>
    <w:p w:rsidR="008F2E8E" w:rsidRDefault="008F2E8E" w:rsidP="003C50FB">
      <w:pPr>
        <w:tabs>
          <w:tab w:val="center" w:pos="1843"/>
          <w:tab w:val="center" w:pos="7088"/>
        </w:tabs>
        <w:ind w:right="70"/>
        <w:jc w:val="right"/>
        <w:rPr>
          <w:rFonts w:eastAsia="MS Mincho"/>
          <w:bCs/>
          <w:lang w:eastAsia="ja-JP"/>
        </w:rPr>
      </w:pPr>
    </w:p>
    <w:p w:rsidR="008F2E8E" w:rsidRDefault="00475790" w:rsidP="003C50FB">
      <w:pPr>
        <w:tabs>
          <w:tab w:val="center" w:pos="1843"/>
          <w:tab w:val="center" w:pos="7088"/>
        </w:tabs>
        <w:ind w:right="70"/>
        <w:jc w:val="center"/>
        <w:rPr>
          <w:rFonts w:eastAsia="MS Mincho"/>
          <w:bCs/>
          <w:lang w:eastAsia="ja-JP"/>
        </w:rPr>
      </w:pPr>
      <w:r>
        <w:rPr>
          <w:rFonts w:ascii="Arial" w:hAnsi="Arial"/>
          <w:szCs w:val="24"/>
        </w:rPr>
        <w:t>Druskóczi</w:t>
      </w:r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>Tünde</w:t>
      </w:r>
      <w:r w:rsidR="003C50FB">
        <w:rPr>
          <w:rFonts w:ascii="Arial" w:hAnsi="Arial"/>
          <w:szCs w:val="24"/>
        </w:rPr>
        <w:t xml:space="preserve"> </w:t>
      </w:r>
      <w:proofErr w:type="spellStart"/>
      <w:r w:rsidR="003C50FB">
        <w:rPr>
          <w:rFonts w:ascii="Arial" w:hAnsi="Arial"/>
          <w:szCs w:val="24"/>
        </w:rPr>
        <w:t>sk</w:t>
      </w:r>
      <w:proofErr w:type="spellEnd"/>
      <w:r w:rsidR="003C50FB">
        <w:rPr>
          <w:rFonts w:ascii="Arial" w:hAnsi="Arial"/>
          <w:szCs w:val="24"/>
        </w:rPr>
        <w:t>.</w:t>
      </w:r>
    </w:p>
    <w:p w:rsidR="008F2E8E" w:rsidRDefault="00475790" w:rsidP="003C50FB">
      <w:pPr>
        <w:tabs>
          <w:tab w:val="center" w:pos="1843"/>
          <w:tab w:val="center" w:pos="7088"/>
        </w:tabs>
        <w:ind w:right="70"/>
        <w:jc w:val="center"/>
        <w:rPr>
          <w:rFonts w:ascii="Arial" w:hAnsi="Arial"/>
          <w:szCs w:val="24"/>
        </w:rPr>
      </w:pPr>
      <w:proofErr w:type="gramStart"/>
      <w:r>
        <w:rPr>
          <w:rFonts w:ascii="Arial" w:eastAsia="MS Mincho" w:hAnsi="Arial"/>
          <w:bCs/>
          <w:szCs w:val="24"/>
          <w:lang w:eastAsia="ja-JP"/>
        </w:rPr>
        <w:t>polgármester</w:t>
      </w:r>
      <w:proofErr w:type="gramEnd"/>
    </w:p>
    <w:p w:rsidR="008F2E8E" w:rsidRDefault="008F2E8E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8F2E8E" w:rsidRDefault="008F2E8E">
      <w:pPr>
        <w:pStyle w:val="Default"/>
        <w:tabs>
          <w:tab w:val="center" w:pos="6521"/>
        </w:tabs>
        <w:ind w:left="851" w:right="851"/>
        <w:jc w:val="both"/>
        <w:rPr>
          <w:rFonts w:ascii="Arial" w:hAnsi="Arial" w:cs="Times New Roman"/>
          <w:bCs/>
          <w:color w:val="00000A"/>
        </w:rPr>
      </w:pPr>
    </w:p>
    <w:p w:rsidR="008F2E8E" w:rsidRDefault="008F2E8E">
      <w:pPr>
        <w:pStyle w:val="Default"/>
        <w:tabs>
          <w:tab w:val="center" w:pos="6521"/>
        </w:tabs>
        <w:ind w:left="851" w:right="851"/>
        <w:jc w:val="both"/>
      </w:pPr>
    </w:p>
    <w:p w:rsidR="008F2E8E" w:rsidRDefault="008F2E8E"/>
    <w:sectPr w:rsidR="008F2E8E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Narrow,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B347B"/>
    <w:multiLevelType w:val="hybridMultilevel"/>
    <w:tmpl w:val="AE0692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43A93"/>
    <w:multiLevelType w:val="multilevel"/>
    <w:tmpl w:val="CE30A8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E327F6"/>
    <w:multiLevelType w:val="multilevel"/>
    <w:tmpl w:val="96DE6D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8E"/>
    <w:rsid w:val="001D256D"/>
    <w:rsid w:val="00293979"/>
    <w:rsid w:val="003C50FB"/>
    <w:rsid w:val="00475790"/>
    <w:rsid w:val="00634525"/>
    <w:rsid w:val="008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2ACDC"/>
  <w15:docId w15:val="{B25F6ABC-5C56-40FD-B959-148794B5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Cs w:val="22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6286"/>
    <w:pPr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link w:val="Cmsor1Char"/>
    <w:qFormat/>
    <w:rsid w:val="0076628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qFormat/>
    <w:rsid w:val="00766286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SzvegtrzsChar">
    <w:name w:val="Szövegtörzs Char"/>
    <w:basedOn w:val="Bekezdsalapbettpusa"/>
    <w:link w:val="Szvegtrzs"/>
    <w:qFormat/>
    <w:rsid w:val="00766286"/>
    <w:rPr>
      <w:rFonts w:ascii="Arial" w:eastAsia="Times New Roman" w:hAnsi="Arial" w:cs="Times New Roman"/>
      <w:bCs/>
      <w:color w:val="000000"/>
      <w:kern w:val="0"/>
      <w:sz w:val="26"/>
      <w:szCs w:val="20"/>
      <w:lang w:eastAsia="hu-HU"/>
      <w14:ligatures w14:val="none"/>
    </w:rPr>
  </w:style>
  <w:style w:type="character" w:customStyle="1" w:styleId="lfejChar">
    <w:name w:val="Élőfej Char"/>
    <w:basedOn w:val="Bekezdsalapbettpusa"/>
    <w:qFormat/>
    <w:rsid w:val="00766286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220F91"/>
    <w:rPr>
      <w:color w:val="0000FF"/>
      <w:u w:val="single"/>
    </w:rPr>
  </w:style>
  <w:style w:type="character" w:customStyle="1" w:styleId="ListLabel1">
    <w:name w:val="ListLabel 1"/>
    <w:qFormat/>
    <w:rPr>
      <w:rFonts w:eastAsia="Calibri" w:cs="Times New Roman"/>
      <w:color w:val="00000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rsid w:val="00766286"/>
    <w:rPr>
      <w:rFonts w:ascii="Arial" w:hAnsi="Arial"/>
      <w:bCs/>
      <w:color w:val="000000"/>
      <w:sz w:val="26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rsid w:val="0076628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766286"/>
    <w:rPr>
      <w:rFonts w:ascii="Calibri" w:eastAsia="Times New Roman" w:hAnsi="Calibri" w:cs="Times New Roman"/>
      <w:color w:val="00000A"/>
      <w:kern w:val="0"/>
      <w14:ligatures w14:val="none"/>
    </w:rPr>
  </w:style>
  <w:style w:type="paragraph" w:customStyle="1" w:styleId="Default">
    <w:name w:val="Default"/>
    <w:qFormat/>
    <w:rsid w:val="008A1B59"/>
    <w:rPr>
      <w:rFonts w:ascii="Garamond" w:eastAsia="Lucida Sans Unicode" w:hAnsi="Garamond" w:cs="Garamond"/>
      <w:color w:val="000000"/>
      <w:kern w:val="0"/>
      <w:sz w:val="24"/>
      <w:szCs w:val="24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8A1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807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</cp:lastModifiedBy>
  <cp:revision>10</cp:revision>
  <dcterms:created xsi:type="dcterms:W3CDTF">2023-03-26T17:56:00Z</dcterms:created>
  <dcterms:modified xsi:type="dcterms:W3CDTF">2023-04-13T06:36:00Z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