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1F5" w:rsidRPr="00DA31F5" w:rsidRDefault="00DA31F5" w:rsidP="00DA31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DA31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Balatonberény Község Önkormányzata Képviselő-testületének 20/2022. (X. 26.) önkormányzati rendelete</w:t>
      </w:r>
    </w:p>
    <w:p w:rsidR="00DA31F5" w:rsidRPr="00DA31F5" w:rsidRDefault="00DA31F5" w:rsidP="00DA31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proofErr w:type="gramStart"/>
      <w:r w:rsidRPr="00DA31F5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>a</w:t>
      </w:r>
      <w:proofErr w:type="gramEnd"/>
      <w:r w:rsidRPr="00DA31F5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 xml:space="preserve"> helyi adókról</w:t>
      </w:r>
    </w:p>
    <w:p w:rsidR="00DA31F5" w:rsidRPr="00DA31F5" w:rsidRDefault="00DA31F5" w:rsidP="00DA3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 2023. 01. 02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Balatonberény Község Önkormányzatának Képviselő-testülete a helyi adókról szóló </w:t>
      </w:r>
      <w:hyperlink r:id="rId5" w:anchor="SZ1@BE1" w:tgtFrame="_blank" w:history="1">
        <w:r w:rsidRPr="00DA31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 xml:space="preserve">1990. évi C. törvény (a továbbiakban: </w:t>
        </w:r>
        <w:proofErr w:type="spellStart"/>
        <w:r w:rsidRPr="00DA31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Hatv</w:t>
        </w:r>
        <w:proofErr w:type="spellEnd"/>
        <w:r w:rsidRPr="00DA31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 xml:space="preserve">.) 1. § (1) </w:t>
        </w:r>
        <w:proofErr w:type="gramStart"/>
        <w:r w:rsidRPr="00DA31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bekezdés</w:t>
        </w:r>
      </w:hyperlink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ében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felhatalmazása alapján, </w:t>
      </w:r>
      <w:hyperlink r:id="rId6" w:anchor="CA32@BE1@POH" w:tgtFrame="_blank" w:history="1">
        <w:r w:rsidRPr="00DA31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az Alaptörvény 32. cikk (1) bekezdés h) pont</w:t>
        </w:r>
      </w:hyperlink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jában meghatározott feladatkörében a következőket rendeli el:</w:t>
      </w:r>
    </w:p>
    <w:p w:rsidR="00DA31F5" w:rsidRPr="00DA31F5" w:rsidRDefault="00DA31F5" w:rsidP="00DA31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Pr="00DA31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Értelmező rendelkezések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1. § E rendelet alkalmazásában: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Életvitelszerű lakóhely: Amennyiben a természetes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 adózó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adóhatóság felé bejelentett lakását, üdülőjét otthonául használja, és ebből az ingatlanból szervezi az életét, családi élete helyszínéül szolgál, rendszeresen innen indul munkába vagy oktatási intézménybe, ide tér haza. A lakás, üdülő vonatkozásában az év minden hónapjában közüzemi szolgáltatásokat vesz igénybe. A lakás, üdülő ingatlan-nyilvántartás szerinti címe szerepel elsődleges elérési címeként a hatóságoknál, közműszolgáltatóknál, és a magánszemély adózó nem rendelkezik más olyan lakással, üdülővel melyet életvitelszerűen használ és ezt a tényt, valamint az adótárgyként megadott lakás, üdülő életvitelszerű használatának tényét az adóhatóság felé hitelt érdemlően igazolja. Önmagában az a körülmény, hogy az adózónak Balatonberényben bejelentett, hatóságilag nyilvántartott lakcíme van, még nem feltétlenül jelenti azt, hogy ez a hely tekintendő az életvitelszerű lakóhelyének. Életvitelszerű lakóhelynek csakis az a hely tekinthető, amely szoros és tartós kapcsolatot jelent az adózó és Balatonberény község között.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Az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adótárgy lakás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üdülő életvitelszerű használatának igazolásának módja: lakcímkártya bemutatásával, közjegyzői okiratba foglalt nyilatkozattal, jogerős bírósági határozattal, amennyiben abból az életvitelszerű használat ténye megállapítható, valamint bejegyzett élettársi kapcsolatra vonatkozó okirattal, amennyiben abból a közös háztartás helye, valamint annak életvitelszerű használata megállapítható. Kétség esetén az adózó köteles az adóhatóság felhívásában foglalt olyan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becsatolására, melyből az életvitelszerű lakóhely ténye megállapítható.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Üzleti célt szolgáló építmény: olyan épület, épületrész,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amelyet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épületet, épületrészt hasznosító vállalkozó bevétel-, nyereség-, jövedelemszerzése érdekében használ, vagy ezzel kapcsolatosan költséget számol el.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d) Működő kereskedelmi egység, szállásépület, egyéb nem lakás céljára szolgáló épület: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 nyilvántartásban bejegyzett művelési ágnak megfelelően, működési engedély birtokában hasznosított épület.</w:t>
      </w: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2. § Az Önkormányzat</w:t>
      </w: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) építményadót</w:t>
      </w: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b) telekadót</w:t>
      </w: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magánszemélyek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kommunális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adóját</w:t>
      </w: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d) idegenforgalmi adót</w:t>
      </w: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) helyi iparűzési adót vezet be.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</w:t>
      </w:r>
      <w:r w:rsidRPr="00DA31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Építményadó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3. § Az adó alapja az építmény 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-ben számított hasznos alapterülete.</w:t>
      </w: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4. § (1) A közforgalmi vasúttól északra eső területen lévő lakás és üdülő esetében az adó mértéke, amennyiben a lakás vagy üdülő adóköteles alapterülete</w:t>
      </w: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) 25 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-nél nem nagyobb 1500 Ft/ 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/év,</w:t>
      </w: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b) 25 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-nél nagyobb 750 Ft/ 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/év.</w:t>
      </w: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közforgalmi vasúttól délre eső területen lévő lakás és üdülő adó mértéke 650 Ft/ 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/év.</w:t>
      </w: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lakással vagy üdülővel egy telken található egyéb adóköteles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 adó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mértéke 300 Ft/ 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/év.</w:t>
      </w: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Zártkertben, külterületen lévő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 adó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mértéke 325 Ft/ 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/év.</w:t>
      </w: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Éves vagy idényjelleggel ténylegesen működő kereskedelmi egység, szállásépület, egyéb nem lakás céljára szolgáló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 adó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mértéke 720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(1-5) bekezdésekben nem szabályozott esetekben az adó mértéke 2000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5. § (1) Mentes az adó alól</w:t>
      </w: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31F5" w:rsidRP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) a fedett és nyitott terasz,</w:t>
      </w: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a lakás vagy üdülő, melyben a tulajdonosoknak vagy a tulajdonosok valamelyikének életvitelszerű lakóhelye van.</w:t>
      </w:r>
    </w:p>
    <w:p w:rsidR="00DA31F5" w:rsidRDefault="00DA31F5" w:rsidP="00D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a-b) pontokban felsorolt mentességek nem alkalmazhatók az adóalany üzleti célt szolgáló építménye esetében.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 </w:t>
      </w:r>
      <w:r w:rsidRPr="00DA31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Telekadó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6. § Az adó alapja a telek 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-ben számított területe.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7. § (1) Az adó mértéke 230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(2) Külterületen lévő telek adó mértéke 30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(3) Lakóövezetben lévő, éves vagy idényjelleggel tényleges működő kereskedelmi egységgel, vagy szállásépülettel, vagy egyéb nem lakás céljára szolgáló épülettel beépített telek adó mértéke 60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(4) Üdülőövezetben lévő, éves vagy idényjelleggel ténylegesen működő kereskedelmi egységgel, vagy szállásépülettel, vagy egyéb nem lakás céljára szolgáló épülettel beépített telek adó mértéke 190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József Attila utcai telkek déli telekhatáraitól délre eső és a 036/1, 048 </w:t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hrsz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és a 7-es </w:t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főközlekedési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 által határolt területen az adó mértéke 30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8. § (1) Mentes az adó alól: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magánszemély tulajdonát képező olyan telek teljes területe, melyen a </w:t>
      </w:r>
      <w:hyperlink r:id="rId7" w:tgtFrame="_blank" w:history="1">
        <w:proofErr w:type="spellStart"/>
        <w:r w:rsidRPr="00DA31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Hatv</w:t>
        </w:r>
        <w:proofErr w:type="spellEnd"/>
        <w:r w:rsidRPr="00DA31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.</w:t>
        </w:r>
      </w:hyperlink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adómentes lakás vagy üdülő található,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b) üdülőövezetben lévő beépített telek esetében az adómentes terület 1500 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 adómentes terület csak akkor lehet </w:t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nagyob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ha a </w:t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Hatv-ben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biztosított adómentes terület ennél nagyobb,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mentesség nem illeti meg azt a telket, amelyből telekalakítással új közművesített telek alakítható ki.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</w:t>
      </w:r>
      <w:hyperlink r:id="rId8" w:anchor="SZ8@BE1@POC" w:history="1">
        <w:r w:rsidRPr="00DA31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(1) bekezdés c) pont</w:t>
        </w:r>
      </w:hyperlink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nem adómentes telek teljes területéből a </w:t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Hatv-ben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adómentességen kívül adómentes a Helyi Építési Szabályzat által megállapított, a telek elhelyezkedése szerinti övezetre érvényes legkisebb kialakítható teleknagyságot meghaladó telek.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(3) Kérelemre az építési engedéllyel rendelkező telek az építési engedély jogerőre emelkedését követő év január 1. napjától számított 4 évig. Ha a telek ezen időszak alatt nem épül be, a telekadó visszamenőlegesen esedékessé válik. A határidő indokolt esetben egy évvel meghosszabbítható.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a telek, amely közúttal nem érintkezik és telekalakítással sem válik beépíthetővé.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közúttal érintkező, de </w:t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közművesítetlen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telek. A telekadó szempontjából </w:t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közművesítetlen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 telek, amely olyan közúttal érintkezik, amelyben a víz, szennyvízcsatorna és villany közmű nincs kiépítve.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(1) –</w:t>
      </w:r>
      <w:hyperlink r:id="rId9" w:anchor="SZ8@BE5" w:history="1">
        <w:r w:rsidRPr="00DA31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(5) bekezdés</w:t>
        </w:r>
      </w:hyperlink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ben felsorolt mentességek az adóalany üzleti célt szolgáló telke esetében nem alkalmazhatók.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9. § (1) 200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 telek, ha a lakóövezetben lévő telek tulajdonosai között az önkormányzat illetékességi területén ténylegesen életvitelszerűen élő magánszemély adóalany is van.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(2) 170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 telek, ha az üdülőövezetben lévő telek tulajdonosai között az önkormányzat illetékességi területén ténylegesen életvitelszerűen élő magánszemély adóalany is van.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(3) 170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 magánszemély tulajdonában álló lakóövezetben lévő telek.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(4) 125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 magánszemély tulajdonában álló üdülőövezetben lévő telek.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(5) 190 Ft/m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 magánszemély tulajdonában álló lakóövezetben lévő telek, ha a telek adóköteles alapterülete az 1500 m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-t meghaladja.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10. § (1) Az adókedvezmény csak egy jogcímen vehető igénybe.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Ha a telek szélessége miatt építési engedély nem adható, úgy a </w:t>
      </w:r>
      <w:hyperlink r:id="rId10" w:anchor="SZ10" w:history="1">
        <w:r w:rsidRPr="00DA31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10. §</w:t>
        </w:r>
      </w:hyperlink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megállapított adókedvezmény valamelyikével csökkentett adó 50 %-át kell megfizetni.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11. § A </w:t>
      </w:r>
      <w:hyperlink r:id="rId11" w:anchor="SZ10" w:history="1">
        <w:r w:rsidRPr="00DA31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10. §</w:t>
        </w:r>
      </w:hyperlink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adókedvezmények az adóalany üzleti célt szolgáló telke esetében nem alkalmazhatók.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4. Magánszemélyek </w:t>
      </w:r>
      <w:proofErr w:type="gramStart"/>
      <w:r w:rsidRPr="00DA31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kommunális</w:t>
      </w:r>
      <w:proofErr w:type="gramEnd"/>
      <w:r w:rsidRPr="00DA31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adója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12. § (1) Az adó mértéke: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közforgalmi vasúttól északra eső területen lévő lakás, üdülő, telek esetében: 25.000 Ft/év/adótárgy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közforgalmi vasúttól délre eső területen lévő lakás, üdülő, telek esetében: 20.000 Ft/év/adótárgy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lakásbérleti jogviszony alapján adókötelezett esetében az adó mértéke az (1) a) vagy b) pontban meghatározott mérték 80 %-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13. § Mentes az adó alól: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a lakás- és üdülőépületen kívül minden építmény és telek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kivéve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 a </w:t>
      </w:r>
      <w:bookmarkStart w:id="0" w:name="_GoBack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"https://njt.hu/jogszabaly/1990-100-00-00" \t "_blank" </w:instrTex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Hatv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.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0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rendelkezései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adómentességet kapott az építmény vagy telekadó megfizetése alól,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a lakás vagy üdülő, mely után e rendelet alapján építményadó fizetési kötelezettség terheli a tulajdonost.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 Idegenforgalmi adó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14. § Az adó alapja a megkezdett vendégéjszakák száma.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15. § Az adó mértéke személyenként és vendégéjszakánként 450 Ft.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16. § Mentes az adókötelezettség alól az önkormányzat által meghívott bel- és külföldi vendég.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17. § (1) Az adó beszedésére kötelezett az általa beszedett adóról az adó alapjának és összegének megállapítására alkalmas nyilvántartást vezet, és az adózónak bizonylatot ad.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 nem kereskedelmi célú szálláshelyen nyilvántartást kell vezetni, melynek tartalmazni kell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szálláshely megnevezését és címét,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b) a vendég vezeték és utónevét, születési helyét, idejét, állampolgárságát, lakcímét, személyi igazolvány, vagy útlevél számát,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c) a vendég érkezésének és távozásának időpontját,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d) az adómentességre jogosító tartózkodás pontos megjelölését,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) a vendég aláírását, mellyel a nyilvántartásban rögzített adatok hitelességét igazolja.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</w:t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Htv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. 31. §-</w:t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adómentesség igénybevétele esetén annak feltételeit utólag ellenőrizhető módon igazolni kell. Munkavégzés miatt igénybe vett adómentesség esetén a vendégnyilvántartás mellé csatolni kell a munkáltató cég igazolását, mely tartalmazza a </w:t>
      </w:r>
      <w:proofErr w:type="spell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Htv-ben</w:t>
      </w:r>
      <w:proofErr w:type="spellEnd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adómentesség feltételeit, ennek hiányában az adót meg kell fizetni.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nyilvántartást azon hónap végén, melyben adóbeszedés történt le kell zárni, és meg kell állapítani a bevallási és befizetési kötelezettség alá eső idegenforgalmi adó összegét.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 </w:t>
      </w:r>
      <w:r w:rsidRPr="00DA31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Helyi iparűzési adó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18. § Állandó jelleggel végzett iparűzési tevékenység esetén az adó mértéke az adóalap 2 %-</w:t>
      </w:r>
      <w:proofErr w:type="gramStart"/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19. § Mentes a helyi iparűzési adófizetési kötelezettség alól a vállalkozó, ha e tevékenységéből elért vállalkozási szintű adóalapja az adóévben az 500.000 Ft-ot nem haladja meg.</w:t>
      </w:r>
    </w:p>
    <w:p w:rsidR="00DA31F5" w:rsidRPr="00DA31F5" w:rsidRDefault="00DA31F5" w:rsidP="00DA31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 Zárórendelkezések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20. §</w:t>
      </w:r>
      <w:r w:rsidRPr="00DA3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1</w:t>
      </w: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A31F5" w:rsidRPr="00DA31F5" w:rsidRDefault="00DA31F5" w:rsidP="00DA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1F5">
        <w:rPr>
          <w:rFonts w:ascii="Times New Roman" w:eastAsia="Times New Roman" w:hAnsi="Times New Roman" w:cs="Times New Roman"/>
          <w:sz w:val="24"/>
          <w:szCs w:val="24"/>
          <w:lang w:eastAsia="hu-HU"/>
        </w:rPr>
        <w:t>21. § Ez a rendelet 2023. január 1-jén lép hatályba.</w:t>
      </w:r>
    </w:p>
    <w:sectPr w:rsidR="00DA31F5" w:rsidRPr="00DA3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E337D"/>
    <w:multiLevelType w:val="multilevel"/>
    <w:tmpl w:val="06CAC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A1502E"/>
    <w:multiLevelType w:val="multilevel"/>
    <w:tmpl w:val="7052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F5"/>
    <w:rsid w:val="00AB7067"/>
    <w:rsid w:val="00DA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A6B9A"/>
  <w15:chartTrackingRefBased/>
  <w15:docId w15:val="{1BDF62A0-1E8E-4EE0-ABD6-79F04384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27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1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96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30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57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74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43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33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39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69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85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7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79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79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6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1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4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7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86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95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7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2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4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5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1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1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47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7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57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29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85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4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18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8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01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78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8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5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39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1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2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03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65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82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58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1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10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53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86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43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92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6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67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4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2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6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87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76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7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71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0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73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66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29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63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9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7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72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4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8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55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1443/r/2022/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1990-100-00-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2011-4301-02-00" TargetMode="External"/><Relationship Id="rId11" Type="http://schemas.openxmlformats.org/officeDocument/2006/relationships/hyperlink" Target="https://or.njt.hu/eli/v01/731443/r/2022/20" TargetMode="External"/><Relationship Id="rId5" Type="http://schemas.openxmlformats.org/officeDocument/2006/relationships/hyperlink" Target="https://njt.hu/jogszabaly/1990-100-00-00" TargetMode="External"/><Relationship Id="rId10" Type="http://schemas.openxmlformats.org/officeDocument/2006/relationships/hyperlink" Target="https://or.njt.hu/eli/v01/731443/r/2022/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.njt.hu/eli/v01/731443/r/2022/2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1293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2023-10-17T12:40:00Z</dcterms:created>
  <dcterms:modified xsi:type="dcterms:W3CDTF">2023-10-17T12:45:00Z</dcterms:modified>
</cp:coreProperties>
</file>