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AD1EB" w14:textId="77777777" w:rsidR="006070C9" w:rsidRDefault="006070C9" w:rsidP="00785E3C">
      <w:pPr>
        <w:pStyle w:val="Cm"/>
        <w:rPr>
          <w:rFonts w:ascii="Century Gothic" w:hAnsi="Century Gothic"/>
          <w:sz w:val="22"/>
          <w:szCs w:val="22"/>
          <w:u w:val="single"/>
        </w:rPr>
      </w:pPr>
    </w:p>
    <w:p w14:paraId="6D9419C8" w14:textId="77777777" w:rsidR="006070C9" w:rsidRDefault="006070C9" w:rsidP="006070C9">
      <w:pPr>
        <w:shd w:val="clear" w:color="auto" w:fill="FFFFFF"/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  <w:r>
        <w:rPr>
          <w:rFonts w:ascii="Cambria" w:eastAsia="Arial Unicode MS" w:hAnsi="Cambria"/>
          <w:b/>
          <w:sz w:val="52"/>
          <w:szCs w:val="52"/>
        </w:rPr>
        <w:t xml:space="preserve">ELŐTERJESZTÉS  </w:t>
      </w:r>
    </w:p>
    <w:p w14:paraId="65AE0B29" w14:textId="77777777" w:rsidR="006070C9" w:rsidRDefault="006070C9" w:rsidP="006070C9">
      <w:pPr>
        <w:shd w:val="clear" w:color="auto" w:fill="FFFFFF"/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</w:p>
    <w:p w14:paraId="60EF0753" w14:textId="77777777"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  <w:r w:rsidRPr="00720B39">
        <w:rPr>
          <w:rFonts w:ascii="Cambria" w:hAnsi="Cambria"/>
          <w:noProof/>
        </w:rPr>
        <w:drawing>
          <wp:inline distT="0" distB="0" distL="0" distR="0" wp14:anchorId="4D96DD93" wp14:editId="2FBF3B7A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D66A" w14:textId="77777777"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</w:p>
    <w:p w14:paraId="0146837E" w14:textId="77777777"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</w:p>
    <w:p w14:paraId="092F2A3B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sz w:val="36"/>
          <w:szCs w:val="36"/>
        </w:rPr>
      </w:pPr>
      <w:r>
        <w:rPr>
          <w:rFonts w:ascii="Cambria" w:eastAsia="Arial Unicode MS" w:hAnsi="Cambria"/>
          <w:sz w:val="36"/>
          <w:szCs w:val="36"/>
        </w:rPr>
        <w:t xml:space="preserve">BALATONBERÉNY KÖZSÉG ÖNKORMÁNYZATI </w:t>
      </w:r>
    </w:p>
    <w:p w14:paraId="7173C86A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sz w:val="36"/>
          <w:szCs w:val="36"/>
        </w:rPr>
      </w:pPr>
      <w:r>
        <w:rPr>
          <w:rFonts w:ascii="Cambria" w:eastAsia="Arial Unicode MS" w:hAnsi="Cambria"/>
          <w:sz w:val="36"/>
          <w:szCs w:val="36"/>
        </w:rPr>
        <w:t>KÉPVISELŐ-TESTÜLETÉNEK</w:t>
      </w:r>
    </w:p>
    <w:p w14:paraId="01DC6B95" w14:textId="77777777" w:rsidR="006070C9" w:rsidRDefault="006070C9" w:rsidP="006070C9">
      <w:pPr>
        <w:shd w:val="clear" w:color="auto" w:fill="FFFFFF"/>
        <w:rPr>
          <w:rFonts w:ascii="Cambria" w:eastAsia="Arial Unicode MS" w:hAnsi="Cambria"/>
          <w:sz w:val="36"/>
          <w:szCs w:val="36"/>
        </w:rPr>
      </w:pPr>
    </w:p>
    <w:p w14:paraId="0017DF91" w14:textId="7E532FE8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202</w:t>
      </w:r>
      <w:r w:rsidR="00663AAA">
        <w:rPr>
          <w:rFonts w:ascii="Cambria" w:eastAsia="Arial Unicode MS" w:hAnsi="Cambria"/>
          <w:b/>
          <w:sz w:val="36"/>
          <w:szCs w:val="36"/>
        </w:rPr>
        <w:t>4</w:t>
      </w:r>
      <w:r>
        <w:rPr>
          <w:rFonts w:ascii="Cambria" w:eastAsia="Arial Unicode MS" w:hAnsi="Cambria"/>
          <w:b/>
          <w:sz w:val="36"/>
          <w:szCs w:val="36"/>
        </w:rPr>
        <w:t xml:space="preserve">. november </w:t>
      </w:r>
      <w:r w:rsidR="00663AAA">
        <w:rPr>
          <w:rFonts w:ascii="Cambria" w:eastAsia="Arial Unicode MS" w:hAnsi="Cambria"/>
          <w:b/>
          <w:sz w:val="36"/>
          <w:szCs w:val="36"/>
        </w:rPr>
        <w:t>21</w:t>
      </w:r>
      <w:r>
        <w:rPr>
          <w:rFonts w:ascii="Cambria" w:eastAsia="Arial Unicode MS" w:hAnsi="Cambria"/>
          <w:b/>
          <w:sz w:val="36"/>
          <w:szCs w:val="36"/>
        </w:rPr>
        <w:t xml:space="preserve">-i </w:t>
      </w:r>
      <w:r w:rsidR="00836C6E">
        <w:rPr>
          <w:rFonts w:ascii="Cambria" w:eastAsia="Arial Unicode MS" w:hAnsi="Cambria"/>
          <w:b/>
          <w:sz w:val="36"/>
          <w:szCs w:val="36"/>
        </w:rPr>
        <w:t>nyilvános</w:t>
      </w:r>
      <w:r>
        <w:rPr>
          <w:rFonts w:ascii="Cambria" w:eastAsia="Arial Unicode MS" w:hAnsi="Cambria"/>
          <w:b/>
          <w:sz w:val="36"/>
          <w:szCs w:val="36"/>
        </w:rPr>
        <w:t xml:space="preserve"> ülésére </w:t>
      </w:r>
    </w:p>
    <w:p w14:paraId="2EE86624" w14:textId="77777777" w:rsidR="006070C9" w:rsidRDefault="006070C9" w:rsidP="006070C9">
      <w:pPr>
        <w:shd w:val="clear" w:color="auto" w:fill="FFFFFF"/>
        <w:rPr>
          <w:rFonts w:ascii="Cambria" w:eastAsia="Arial Unicode MS" w:hAnsi="Cambria"/>
          <w:b/>
          <w:sz w:val="36"/>
          <w:szCs w:val="36"/>
        </w:rPr>
      </w:pPr>
    </w:p>
    <w:p w14:paraId="24A340DA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TÁRGY:</w:t>
      </w:r>
    </w:p>
    <w:p w14:paraId="25FBA288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5A076B4A" w14:textId="30D9B134" w:rsidR="006070C9" w:rsidRDefault="00836C6E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H</w:t>
      </w:r>
      <w:r w:rsidRPr="00836C6E">
        <w:rPr>
          <w:rFonts w:ascii="Cambria" w:eastAsia="Arial Unicode MS" w:hAnsi="Cambria"/>
          <w:b/>
          <w:sz w:val="36"/>
          <w:szCs w:val="36"/>
        </w:rPr>
        <w:t xml:space="preserve">elyi </w:t>
      </w:r>
      <w:r>
        <w:rPr>
          <w:rFonts w:ascii="Cambria" w:eastAsia="Arial Unicode MS" w:hAnsi="Cambria"/>
          <w:b/>
          <w:sz w:val="36"/>
          <w:szCs w:val="36"/>
        </w:rPr>
        <w:t>ingatlan</w:t>
      </w:r>
      <w:r w:rsidRPr="00836C6E">
        <w:rPr>
          <w:rFonts w:ascii="Cambria" w:eastAsia="Arial Unicode MS" w:hAnsi="Cambria"/>
          <w:b/>
          <w:sz w:val="36"/>
          <w:szCs w:val="36"/>
        </w:rPr>
        <w:t xml:space="preserve">adóztatási tevékenység </w:t>
      </w:r>
      <w:r>
        <w:rPr>
          <w:rFonts w:ascii="Cambria" w:eastAsia="Arial Unicode MS" w:hAnsi="Cambria"/>
          <w:b/>
          <w:sz w:val="36"/>
          <w:szCs w:val="36"/>
        </w:rPr>
        <w:t>ÁSZ-</w:t>
      </w:r>
      <w:r w:rsidRPr="00836C6E">
        <w:rPr>
          <w:rFonts w:ascii="Cambria" w:eastAsia="Arial Unicode MS" w:hAnsi="Cambria"/>
          <w:b/>
          <w:sz w:val="36"/>
          <w:szCs w:val="36"/>
        </w:rPr>
        <w:t>ellenőrzése</w:t>
      </w:r>
    </w:p>
    <w:p w14:paraId="69ABD770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0074D090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ELŐADÓ:</w:t>
      </w:r>
    </w:p>
    <w:p w14:paraId="1C71D4DE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56001719" w14:textId="77777777" w:rsidR="006070C9" w:rsidRDefault="006070C9" w:rsidP="006070C9">
      <w:pPr>
        <w:autoSpaceDE w:val="0"/>
        <w:adjustRightInd w:val="0"/>
        <w:jc w:val="center"/>
        <w:rPr>
          <w:rFonts w:ascii="Cambria" w:hAnsi="Cambria"/>
          <w:sz w:val="36"/>
          <w:szCs w:val="36"/>
        </w:rPr>
      </w:pPr>
      <w:proofErr w:type="spellStart"/>
      <w:r>
        <w:rPr>
          <w:rFonts w:ascii="Cambria" w:hAnsi="Cambria"/>
          <w:sz w:val="36"/>
          <w:szCs w:val="36"/>
        </w:rPr>
        <w:t>Druskoczi</w:t>
      </w:r>
      <w:proofErr w:type="spellEnd"/>
      <w:r>
        <w:rPr>
          <w:rFonts w:ascii="Cambria" w:hAnsi="Cambria"/>
          <w:sz w:val="36"/>
          <w:szCs w:val="36"/>
        </w:rPr>
        <w:t xml:space="preserve"> Tünde </w:t>
      </w:r>
    </w:p>
    <w:p w14:paraId="5C83063D" w14:textId="77777777" w:rsidR="006070C9" w:rsidRDefault="006070C9" w:rsidP="006070C9">
      <w:pPr>
        <w:autoSpaceDE w:val="0"/>
        <w:adjustRightInd w:val="0"/>
        <w:jc w:val="center"/>
        <w:rPr>
          <w:rFonts w:ascii="Cambria" w:hAnsi="Cambria" w:cs="Tahoma"/>
          <w:sz w:val="22"/>
          <w:szCs w:val="22"/>
        </w:rPr>
      </w:pPr>
      <w:r>
        <w:rPr>
          <w:rFonts w:ascii="Cambria" w:hAnsi="Cambria"/>
          <w:sz w:val="36"/>
          <w:szCs w:val="36"/>
        </w:rPr>
        <w:t>polgármester</w:t>
      </w:r>
    </w:p>
    <w:p w14:paraId="299346C0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120DFF81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3E0FC3D7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7DD8EFFC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067B916F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4D86FE9A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4EE24B63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5A72EEF4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0645E641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429EF666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675F7607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543FD59D" w14:textId="77777777" w:rsidR="00785E3C" w:rsidRPr="00D74991" w:rsidRDefault="00785E3C" w:rsidP="006070C9">
      <w:pPr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FF2D788" w14:textId="77777777" w:rsidR="00785E3C" w:rsidRPr="00D74991" w:rsidRDefault="00785E3C" w:rsidP="00785E3C">
      <w:pPr>
        <w:ind w:left="900" w:hanging="90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12433AAD" w14:textId="77777777" w:rsidR="00785E3C" w:rsidRPr="00D74991" w:rsidRDefault="00785E3C" w:rsidP="00785E3C">
      <w:pPr>
        <w:tabs>
          <w:tab w:val="left" w:pos="3686"/>
        </w:tabs>
        <w:jc w:val="both"/>
        <w:outlineLvl w:val="0"/>
        <w:rPr>
          <w:rFonts w:ascii="Century Gothic" w:hAnsi="Century Gothic"/>
          <w:b/>
          <w:sz w:val="22"/>
          <w:szCs w:val="22"/>
        </w:rPr>
      </w:pPr>
      <w:r w:rsidRPr="00D74991">
        <w:rPr>
          <w:rFonts w:ascii="Century Gothic" w:hAnsi="Century Gothic"/>
          <w:b/>
          <w:sz w:val="22"/>
          <w:szCs w:val="22"/>
        </w:rPr>
        <w:lastRenderedPageBreak/>
        <w:t>Tisztelt Képviselő-testület!</w:t>
      </w:r>
    </w:p>
    <w:p w14:paraId="382EB027" w14:textId="77777777" w:rsidR="00785E3C" w:rsidRPr="00D74991" w:rsidRDefault="00785E3C" w:rsidP="00785E3C">
      <w:pPr>
        <w:jc w:val="both"/>
        <w:rPr>
          <w:rFonts w:ascii="Century Gothic" w:hAnsi="Century Gothic"/>
          <w:sz w:val="22"/>
          <w:szCs w:val="22"/>
        </w:rPr>
      </w:pPr>
    </w:p>
    <w:p w14:paraId="2B0D4223" w14:textId="1ACEA376" w:rsidR="0050763C" w:rsidRDefault="0050763C" w:rsidP="0050763C">
      <w:pPr>
        <w:pStyle w:val="Szvegtrzsbehzssal"/>
        <w:ind w:left="0"/>
        <w:jc w:val="both"/>
        <w:rPr>
          <w:rFonts w:ascii="Century Gothic" w:hAnsi="Century Gothic"/>
          <w:sz w:val="22"/>
          <w:szCs w:val="22"/>
        </w:rPr>
      </w:pPr>
      <w:r w:rsidRPr="00836C6E">
        <w:rPr>
          <w:rFonts w:ascii="Century Gothic" w:hAnsi="Century Gothic"/>
          <w:sz w:val="22"/>
          <w:szCs w:val="22"/>
        </w:rPr>
        <w:t xml:space="preserve">Az </w:t>
      </w:r>
      <w:r>
        <w:rPr>
          <w:rFonts w:ascii="Century Gothic" w:hAnsi="Century Gothic"/>
          <w:sz w:val="22"/>
          <w:szCs w:val="22"/>
        </w:rPr>
        <w:t>Állami Számvevőszék (a továbbiakban: ÁSZ)</w:t>
      </w:r>
      <w:r w:rsidRPr="00836C6E">
        <w:rPr>
          <w:rFonts w:ascii="Century Gothic" w:hAnsi="Century Gothic"/>
          <w:sz w:val="22"/>
          <w:szCs w:val="22"/>
        </w:rPr>
        <w:t xml:space="preserve"> </w:t>
      </w:r>
      <w:r w:rsidRPr="0050763C">
        <w:rPr>
          <w:rFonts w:ascii="Century Gothic" w:hAnsi="Century Gothic"/>
          <w:sz w:val="22"/>
          <w:szCs w:val="22"/>
        </w:rPr>
        <w:t>feladatkörébe tartozik az önkormányzatok adóztatási tevékenységének</w:t>
      </w:r>
      <w:r>
        <w:rPr>
          <w:rFonts w:ascii="Century Gothic" w:hAnsi="Century Gothic"/>
          <w:sz w:val="22"/>
          <w:szCs w:val="22"/>
        </w:rPr>
        <w:t xml:space="preserve"> </w:t>
      </w:r>
      <w:r w:rsidRPr="0050763C">
        <w:rPr>
          <w:rFonts w:ascii="Century Gothic" w:hAnsi="Century Gothic"/>
          <w:sz w:val="22"/>
          <w:szCs w:val="22"/>
        </w:rPr>
        <w:t>ellenőrzése.</w:t>
      </w:r>
    </w:p>
    <w:p w14:paraId="3F606B8F" w14:textId="4493673B" w:rsidR="00785E3C" w:rsidRDefault="0050763C" w:rsidP="005076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Az </w:t>
      </w:r>
      <w:r w:rsidRPr="0050763C">
        <w:rPr>
          <w:rFonts w:ascii="Century Gothic" w:hAnsi="Century Gothic"/>
          <w:sz w:val="22"/>
          <w:szCs w:val="22"/>
        </w:rPr>
        <w:t>ÁSZ</w:t>
      </w:r>
      <w:r>
        <w:rPr>
          <w:rFonts w:ascii="Century Gothic" w:hAnsi="Century Gothic"/>
          <w:sz w:val="22"/>
          <w:szCs w:val="22"/>
        </w:rPr>
        <w:t xml:space="preserve"> </w:t>
      </w:r>
      <w:r w:rsidR="00836C6E">
        <w:rPr>
          <w:rFonts w:ascii="Century Gothic" w:hAnsi="Century Gothic"/>
          <w:sz w:val="22"/>
          <w:szCs w:val="22"/>
        </w:rPr>
        <w:t xml:space="preserve">2024. áprilisában ellenőrizte </w:t>
      </w:r>
      <w:r>
        <w:rPr>
          <w:rFonts w:ascii="Century Gothic" w:hAnsi="Century Gothic"/>
          <w:sz w:val="22"/>
          <w:szCs w:val="22"/>
        </w:rPr>
        <w:t>Balatonberény Község</w:t>
      </w:r>
      <w:r w:rsidR="00836C6E" w:rsidRPr="00836C6E">
        <w:rPr>
          <w:rFonts w:ascii="Century Gothic" w:hAnsi="Century Gothic"/>
          <w:sz w:val="22"/>
          <w:szCs w:val="22"/>
        </w:rPr>
        <w:t xml:space="preserve"> Önkormányzat</w:t>
      </w:r>
      <w:r>
        <w:rPr>
          <w:rFonts w:ascii="Century Gothic" w:hAnsi="Century Gothic"/>
          <w:sz w:val="22"/>
          <w:szCs w:val="22"/>
        </w:rPr>
        <w:t>a</w:t>
      </w:r>
      <w:r w:rsidR="00836C6E" w:rsidRPr="00836C6E">
        <w:rPr>
          <w:rFonts w:ascii="Century Gothic" w:hAnsi="Century Gothic"/>
          <w:sz w:val="22"/>
          <w:szCs w:val="22"/>
        </w:rPr>
        <w:t xml:space="preserve"> képviselő-testületének az építményadóval, a telekadóval és a magánszemély kommunális adójával kapcsolatos rendeletalkotási tevékenységé</w:t>
      </w:r>
      <w:r w:rsidR="00836C6E">
        <w:rPr>
          <w:rFonts w:ascii="Century Gothic" w:hAnsi="Century Gothic"/>
          <w:sz w:val="22"/>
          <w:szCs w:val="22"/>
        </w:rPr>
        <w:t>t, valamint</w:t>
      </w:r>
      <w:r w:rsidR="00836C6E" w:rsidRPr="00836C6E">
        <w:rPr>
          <w:rFonts w:ascii="Century Gothic" w:hAnsi="Century Gothic"/>
          <w:sz w:val="22"/>
          <w:szCs w:val="22"/>
        </w:rPr>
        <w:t xml:space="preserve"> </w:t>
      </w:r>
      <w:r w:rsidR="00836C6E">
        <w:rPr>
          <w:rFonts w:ascii="Century Gothic" w:hAnsi="Century Gothic"/>
          <w:sz w:val="22"/>
          <w:szCs w:val="22"/>
        </w:rPr>
        <w:t xml:space="preserve">a helyi </w:t>
      </w:r>
      <w:r w:rsidR="00836C6E" w:rsidRPr="00836C6E">
        <w:rPr>
          <w:rFonts w:ascii="Century Gothic" w:hAnsi="Century Gothic"/>
          <w:sz w:val="22"/>
          <w:szCs w:val="22"/>
        </w:rPr>
        <w:t>adóhatóság feladatellátásának szabályszerűségét, célszerűségét és eredményességét. Az ellenőrzés célja volt annak megállapítása, hogy az Önkormányzat által bevezetett, ingatlanokat terhelő helyi adókra vonatkozó rendeleti szabályok összhangban vannak-e a helyi adópolitikai célokkal, tartalmuk tükrözi-e a település helyi sajátosságait és az adóhatósági feladatellátás biztosítja-e az önkormányzati bevételek feltárását és beszedését. Ennek keretében az ÁSZ értékelte, hogy az Önkormányzat által bevezetett, ingatlanokat terhelő helyi adókról szóló adórendelet, valamint az adóhatóság döntései, adóztatási gyakorlata a vonatkozó jogszabályokkal összhangban állnak-e.</w:t>
      </w:r>
    </w:p>
    <w:p w14:paraId="0D63642D" w14:textId="5CFFFEC8" w:rsidR="00CA35A4" w:rsidRDefault="005076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ellenőrzés megállapításait és az adóztatási tevékenységre vonatkozó javaslatokat az előterjesztés mellékletét képező „Jelentés” tartalmazza. Csatoltam az előterjesztéshez a „</w:t>
      </w:r>
      <w:proofErr w:type="gramStart"/>
      <w:r>
        <w:rPr>
          <w:rFonts w:ascii="Century Gothic" w:hAnsi="Century Gothic"/>
          <w:sz w:val="22"/>
          <w:szCs w:val="22"/>
        </w:rPr>
        <w:t>Jelentés”-</w:t>
      </w:r>
      <w:proofErr w:type="gramEnd"/>
      <w:r>
        <w:rPr>
          <w:rFonts w:ascii="Century Gothic" w:hAnsi="Century Gothic"/>
          <w:sz w:val="22"/>
          <w:szCs w:val="22"/>
        </w:rPr>
        <w:t>ben foglalt megállapításokkal</w:t>
      </w:r>
      <w:r w:rsidRPr="0050763C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kapcsolatban </w:t>
      </w:r>
      <w:r>
        <w:rPr>
          <w:rFonts w:ascii="Century Gothic" w:hAnsi="Century Gothic"/>
          <w:sz w:val="22"/>
          <w:szCs w:val="22"/>
        </w:rPr>
        <w:t xml:space="preserve">a helyi adóhatóság </w:t>
      </w:r>
      <w:r>
        <w:rPr>
          <w:rFonts w:ascii="Century Gothic" w:hAnsi="Century Gothic"/>
          <w:sz w:val="22"/>
          <w:szCs w:val="22"/>
        </w:rPr>
        <w:t xml:space="preserve">által tett </w:t>
      </w:r>
      <w:r>
        <w:rPr>
          <w:rFonts w:ascii="Century Gothic" w:hAnsi="Century Gothic"/>
          <w:sz w:val="22"/>
          <w:szCs w:val="22"/>
        </w:rPr>
        <w:t>észrevétele</w:t>
      </w:r>
      <w:r>
        <w:rPr>
          <w:rFonts w:ascii="Century Gothic" w:hAnsi="Century Gothic"/>
          <w:sz w:val="22"/>
          <w:szCs w:val="22"/>
        </w:rPr>
        <w:t>ket is.</w:t>
      </w:r>
    </w:p>
    <w:p w14:paraId="6CFAEB33" w14:textId="77777777" w:rsidR="0050763C" w:rsidRDefault="005076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7EDE04EB" w14:textId="3FB79240" w:rsidR="00211E24" w:rsidRDefault="00211E2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„</w:t>
      </w:r>
      <w:proofErr w:type="gramStart"/>
      <w:r>
        <w:rPr>
          <w:rFonts w:ascii="Century Gothic" w:hAnsi="Century Gothic"/>
          <w:sz w:val="22"/>
          <w:szCs w:val="22"/>
        </w:rPr>
        <w:t>Jelentés”-</w:t>
      </w:r>
      <w:proofErr w:type="gramEnd"/>
      <w:r>
        <w:rPr>
          <w:rFonts w:ascii="Century Gothic" w:hAnsi="Century Gothic"/>
          <w:sz w:val="22"/>
          <w:szCs w:val="22"/>
        </w:rPr>
        <w:t xml:space="preserve">ben meghatározott javaslat szerint a polgármesternek intézkednie kell </w:t>
      </w:r>
      <w:r w:rsidRPr="00211E24">
        <w:rPr>
          <w:rFonts w:ascii="Century Gothic" w:hAnsi="Century Gothic"/>
          <w:sz w:val="22"/>
          <w:szCs w:val="22"/>
        </w:rPr>
        <w:t>a jelentés nyilvánosságra hozatalát követő 15 napon belül annak az Önkormányzat képviselő-testülete elé terjesztéséről. A jelentést a napirend tárgyalásáról szóló jegyzőkönyvvel együtt tájékoztatásul a Somogy Vármegyei Kormányhivatal részére is</w:t>
      </w:r>
      <w:r>
        <w:rPr>
          <w:rFonts w:ascii="Century Gothic" w:hAnsi="Century Gothic"/>
          <w:sz w:val="22"/>
          <w:szCs w:val="22"/>
        </w:rPr>
        <w:t xml:space="preserve"> szükséges megküldeni</w:t>
      </w:r>
      <w:r w:rsidRPr="00211E24">
        <w:rPr>
          <w:rFonts w:ascii="Century Gothic" w:hAnsi="Century Gothic"/>
          <w:sz w:val="22"/>
          <w:szCs w:val="22"/>
        </w:rPr>
        <w:t>.</w:t>
      </w:r>
    </w:p>
    <w:p w14:paraId="21C31E6F" w14:textId="77777777" w:rsidR="00211E24" w:rsidRDefault="00211E2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22ED2373" w14:textId="33848F08" w:rsidR="0050763C" w:rsidRDefault="005076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 w:rsidRPr="0050763C">
        <w:rPr>
          <w:rFonts w:ascii="Century Gothic" w:hAnsi="Century Gothic"/>
          <w:sz w:val="22"/>
          <w:szCs w:val="22"/>
        </w:rPr>
        <w:t>Az ÁSZ tv. 33. § (1) bekezdésében foglaltak értelmében az ellenőrzött szervezet vezetője köteles a jelentésben foglalt megállapításokhoz kapcsolódó intézkedési tervet összeállítani és azt a jelentés kézhezvételétől számított 30 napon belül az ÁSZ részére megküldeni.</w:t>
      </w:r>
    </w:p>
    <w:p w14:paraId="0277DD4A" w14:textId="77777777" w:rsidR="0050763C" w:rsidRDefault="005076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570D7CB9" w14:textId="005DD988" w:rsidR="00CA35A4" w:rsidRDefault="005076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Kérem a T. Képviselő-testületet, hogy a </w:t>
      </w:r>
      <w:r w:rsidR="00BB7772">
        <w:rPr>
          <w:rFonts w:ascii="Century Gothic" w:hAnsi="Century Gothic"/>
          <w:sz w:val="22"/>
          <w:szCs w:val="22"/>
        </w:rPr>
        <w:t>„</w:t>
      </w:r>
      <w:proofErr w:type="gramStart"/>
      <w:r w:rsidR="00BB7772">
        <w:rPr>
          <w:rFonts w:ascii="Century Gothic" w:hAnsi="Century Gothic"/>
          <w:sz w:val="22"/>
          <w:szCs w:val="22"/>
        </w:rPr>
        <w:t>Jelentés”-</w:t>
      </w:r>
      <w:proofErr w:type="gramEnd"/>
      <w:r w:rsidR="00BB7772">
        <w:rPr>
          <w:rFonts w:ascii="Century Gothic" w:hAnsi="Century Gothic"/>
          <w:sz w:val="22"/>
          <w:szCs w:val="22"/>
        </w:rPr>
        <w:t>ben foglaltakat vitassa meg és a határozati javaslatot fogadja el.</w:t>
      </w:r>
    </w:p>
    <w:p w14:paraId="54219A1A" w14:textId="77777777" w:rsidR="00CA35A4" w:rsidRPr="00D74991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710B1DDE" w14:textId="77777777" w:rsidR="000B3FB1" w:rsidRPr="00D74991" w:rsidRDefault="000B3FB1" w:rsidP="000B3FB1">
      <w:pPr>
        <w:tabs>
          <w:tab w:val="left" w:pos="3686"/>
        </w:tabs>
        <w:ind w:right="708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  <w:r w:rsidRPr="00D74991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5285D472" w14:textId="5F4EC74C" w:rsidR="000B3FB1" w:rsidRPr="00D74991" w:rsidRDefault="000B3FB1" w:rsidP="000B3FB1">
      <w:pPr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>Balatonberény Község Önkormányzat</w:t>
      </w:r>
      <w:r w:rsidR="00BB7772">
        <w:rPr>
          <w:rFonts w:ascii="Century Gothic" w:hAnsi="Century Gothic"/>
          <w:sz w:val="22"/>
          <w:szCs w:val="22"/>
        </w:rPr>
        <w:t>ának</w:t>
      </w:r>
      <w:r w:rsidRPr="00D74991">
        <w:rPr>
          <w:rFonts w:ascii="Century Gothic" w:hAnsi="Century Gothic"/>
          <w:sz w:val="22"/>
          <w:szCs w:val="22"/>
        </w:rPr>
        <w:t xml:space="preserve"> Képviselő-testülete </w:t>
      </w:r>
      <w:r w:rsidR="00BB7772">
        <w:rPr>
          <w:rFonts w:ascii="Century Gothic" w:hAnsi="Century Gothic"/>
          <w:sz w:val="22"/>
          <w:szCs w:val="22"/>
        </w:rPr>
        <w:t xml:space="preserve">megismerte az Állami Számvevőszék megállapításait </w:t>
      </w:r>
      <w:r w:rsidR="00BB7772" w:rsidRPr="00BB7772">
        <w:rPr>
          <w:rFonts w:ascii="Century Gothic" w:hAnsi="Century Gothic"/>
          <w:sz w:val="22"/>
          <w:szCs w:val="22"/>
        </w:rPr>
        <w:t>az építményadóval, a telekadóval és a magánszemély kommunális adójával kapcsolatos</w:t>
      </w:r>
      <w:r w:rsidR="00BB7772">
        <w:rPr>
          <w:rFonts w:ascii="Century Gothic" w:hAnsi="Century Gothic"/>
          <w:sz w:val="22"/>
          <w:szCs w:val="22"/>
        </w:rPr>
        <w:t xml:space="preserve"> önkormányzati tevékenységről és </w:t>
      </w:r>
      <w:r w:rsidR="00BB7772" w:rsidRPr="00BB7772">
        <w:rPr>
          <w:rFonts w:ascii="Century Gothic" w:hAnsi="Century Gothic"/>
          <w:sz w:val="22"/>
          <w:szCs w:val="22"/>
        </w:rPr>
        <w:t>a helyi adóhatóság feladatellátásá</w:t>
      </w:r>
      <w:r w:rsidR="00BB7772">
        <w:rPr>
          <w:rFonts w:ascii="Century Gothic" w:hAnsi="Century Gothic"/>
          <w:sz w:val="22"/>
          <w:szCs w:val="22"/>
        </w:rPr>
        <w:t>ról.</w:t>
      </w:r>
      <w:r w:rsidR="00BB7772" w:rsidRPr="00BB7772">
        <w:rPr>
          <w:rFonts w:ascii="Century Gothic" w:hAnsi="Century Gothic"/>
          <w:sz w:val="22"/>
          <w:szCs w:val="22"/>
        </w:rPr>
        <w:t xml:space="preserve"> </w:t>
      </w:r>
      <w:r w:rsidR="00BB7772">
        <w:rPr>
          <w:rFonts w:ascii="Century Gothic" w:hAnsi="Century Gothic"/>
          <w:sz w:val="22"/>
          <w:szCs w:val="22"/>
        </w:rPr>
        <w:t>A</w:t>
      </w:r>
      <w:r w:rsidR="00BB7772" w:rsidRPr="00BB7772">
        <w:rPr>
          <w:rFonts w:ascii="Century Gothic" w:hAnsi="Century Gothic"/>
          <w:sz w:val="22"/>
          <w:szCs w:val="22"/>
        </w:rPr>
        <w:t xml:space="preserve">z </w:t>
      </w:r>
      <w:r w:rsidR="00BB7772">
        <w:rPr>
          <w:rFonts w:ascii="Century Gothic" w:hAnsi="Century Gothic"/>
          <w:sz w:val="22"/>
          <w:szCs w:val="22"/>
        </w:rPr>
        <w:t>„</w:t>
      </w:r>
      <w:r w:rsidR="00BB7772" w:rsidRPr="001E4EFB">
        <w:rPr>
          <w:rFonts w:ascii="Century Gothic" w:hAnsi="Century Gothic"/>
          <w:i/>
          <w:iCs/>
          <w:sz w:val="22"/>
          <w:szCs w:val="22"/>
        </w:rPr>
        <w:t>Az önkormányzatok helyi adóztatási tevékenységének ellenőrzése – Ingatlanadóztatás</w:t>
      </w:r>
      <w:r w:rsidR="00BB7772">
        <w:rPr>
          <w:rFonts w:ascii="Century Gothic" w:hAnsi="Century Gothic"/>
          <w:sz w:val="22"/>
          <w:szCs w:val="22"/>
        </w:rPr>
        <w:t>”</w:t>
      </w:r>
      <w:r w:rsidR="00BB7772" w:rsidRPr="00BB7772">
        <w:rPr>
          <w:rFonts w:ascii="Century Gothic" w:hAnsi="Century Gothic"/>
          <w:sz w:val="22"/>
          <w:szCs w:val="22"/>
        </w:rPr>
        <w:t xml:space="preserve"> </w:t>
      </w:r>
      <w:r w:rsidR="00BB7772">
        <w:rPr>
          <w:rFonts w:ascii="Century Gothic" w:hAnsi="Century Gothic"/>
          <w:sz w:val="22"/>
          <w:szCs w:val="22"/>
        </w:rPr>
        <w:t xml:space="preserve">című jelentésében foglaltakat </w:t>
      </w:r>
      <w:r w:rsidR="00BB7772">
        <w:rPr>
          <w:rFonts w:ascii="Century Gothic" w:hAnsi="Century Gothic"/>
          <w:sz w:val="22"/>
          <w:szCs w:val="22"/>
        </w:rPr>
        <w:t>tudomásul vette és felkéri a polgármestert a jelentésben foglalt javaslatok szerinti intézkedések végrehajtására, teljesítésére.</w:t>
      </w:r>
    </w:p>
    <w:p w14:paraId="7333EA8F" w14:textId="77777777" w:rsidR="000B3FB1" w:rsidRDefault="000B3FB1" w:rsidP="000B3FB1">
      <w:pPr>
        <w:jc w:val="both"/>
        <w:rPr>
          <w:rFonts w:ascii="Century Gothic" w:hAnsi="Century Gothic"/>
          <w:sz w:val="22"/>
          <w:szCs w:val="22"/>
        </w:rPr>
      </w:pPr>
    </w:p>
    <w:p w14:paraId="29BA654A" w14:textId="6976A5B9" w:rsidR="000B3FB1" w:rsidRPr="00D74991" w:rsidRDefault="000B3FB1" w:rsidP="000B3FB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Határidő: </w:t>
      </w:r>
      <w:r w:rsidR="00BB7772">
        <w:rPr>
          <w:rFonts w:ascii="Century Gothic" w:hAnsi="Century Gothic"/>
          <w:sz w:val="22"/>
          <w:szCs w:val="22"/>
        </w:rPr>
        <w:t>15 nap</w:t>
      </w:r>
    </w:p>
    <w:p w14:paraId="6ECC8CBD" w14:textId="77777777" w:rsidR="000B3FB1" w:rsidRPr="00D74991" w:rsidRDefault="000B3FB1" w:rsidP="000B3FB1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Felelős: </w:t>
      </w: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</w:t>
      </w:r>
      <w:r w:rsidRPr="00D74991">
        <w:rPr>
          <w:rFonts w:ascii="Century Gothic" w:hAnsi="Century Gothic"/>
          <w:sz w:val="22"/>
          <w:szCs w:val="22"/>
        </w:rPr>
        <w:t xml:space="preserve"> polgármester</w:t>
      </w:r>
    </w:p>
    <w:p w14:paraId="38402C17" w14:textId="77777777"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10E84AE5" w14:textId="7B756F2C" w:rsidR="00785E3C" w:rsidRPr="00D74991" w:rsidRDefault="000B3FB1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</w:t>
      </w:r>
      <w:r w:rsidR="00374799">
        <w:rPr>
          <w:rFonts w:ascii="Century Gothic" w:hAnsi="Century Gothic"/>
          <w:sz w:val="22"/>
          <w:szCs w:val="22"/>
        </w:rPr>
        <w:t>4</w:t>
      </w:r>
      <w:r>
        <w:rPr>
          <w:rFonts w:ascii="Century Gothic" w:hAnsi="Century Gothic"/>
          <w:sz w:val="22"/>
          <w:szCs w:val="22"/>
        </w:rPr>
        <w:t xml:space="preserve">. november </w:t>
      </w:r>
      <w:r w:rsidR="00374799">
        <w:rPr>
          <w:rFonts w:ascii="Century Gothic" w:hAnsi="Century Gothic"/>
          <w:sz w:val="22"/>
          <w:szCs w:val="22"/>
        </w:rPr>
        <w:t>14</w:t>
      </w:r>
      <w:r w:rsidR="00785E3C" w:rsidRPr="00D74991">
        <w:rPr>
          <w:rFonts w:ascii="Century Gothic" w:hAnsi="Century Gothic"/>
          <w:sz w:val="22"/>
          <w:szCs w:val="22"/>
        </w:rPr>
        <w:t xml:space="preserve">.  </w:t>
      </w:r>
    </w:p>
    <w:p w14:paraId="3A8DF32E" w14:textId="77777777" w:rsidR="00785E3C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72B70A31" w14:textId="77777777"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proofErr w:type="spellStart"/>
      <w:r w:rsidR="000B3FB1">
        <w:rPr>
          <w:rFonts w:ascii="Century Gothic" w:hAnsi="Century Gothic"/>
          <w:sz w:val="22"/>
          <w:szCs w:val="22"/>
        </w:rPr>
        <w:t>Druskoczi</w:t>
      </w:r>
      <w:proofErr w:type="spellEnd"/>
      <w:r w:rsidR="000B3FB1">
        <w:rPr>
          <w:rFonts w:ascii="Century Gothic" w:hAnsi="Century Gothic"/>
          <w:sz w:val="22"/>
          <w:szCs w:val="22"/>
        </w:rPr>
        <w:t xml:space="preserve"> Tünde</w:t>
      </w:r>
      <w:r w:rsidRPr="00D74991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D74991">
        <w:rPr>
          <w:rFonts w:ascii="Century Gothic" w:hAnsi="Century Gothic"/>
          <w:sz w:val="22"/>
          <w:szCs w:val="22"/>
        </w:rPr>
        <w:t>sk</w:t>
      </w:r>
      <w:proofErr w:type="spellEnd"/>
      <w:r w:rsidRPr="00D74991">
        <w:rPr>
          <w:rFonts w:ascii="Century Gothic" w:hAnsi="Century Gothic"/>
          <w:sz w:val="22"/>
          <w:szCs w:val="22"/>
        </w:rPr>
        <w:t>.</w:t>
      </w:r>
    </w:p>
    <w:p w14:paraId="730EFBE0" w14:textId="77777777"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  <w:t>polgármester</w:t>
      </w:r>
    </w:p>
    <w:sectPr w:rsidR="00785E3C" w:rsidRPr="00D74991" w:rsidSect="00E80BE7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3C"/>
    <w:rsid w:val="00053F81"/>
    <w:rsid w:val="000B3FB1"/>
    <w:rsid w:val="000B7847"/>
    <w:rsid w:val="000C5E87"/>
    <w:rsid w:val="000D538B"/>
    <w:rsid w:val="001923C7"/>
    <w:rsid w:val="00197E34"/>
    <w:rsid w:val="001D2102"/>
    <w:rsid w:val="001E4EFB"/>
    <w:rsid w:val="00211E24"/>
    <w:rsid w:val="00297E40"/>
    <w:rsid w:val="003338B9"/>
    <w:rsid w:val="00374799"/>
    <w:rsid w:val="003D773D"/>
    <w:rsid w:val="004A2E0F"/>
    <w:rsid w:val="004D650A"/>
    <w:rsid w:val="0050763C"/>
    <w:rsid w:val="005919FF"/>
    <w:rsid w:val="005D40BD"/>
    <w:rsid w:val="006017E8"/>
    <w:rsid w:val="006070C9"/>
    <w:rsid w:val="00663AAA"/>
    <w:rsid w:val="0067159B"/>
    <w:rsid w:val="006B3D63"/>
    <w:rsid w:val="006D39F1"/>
    <w:rsid w:val="00760F7F"/>
    <w:rsid w:val="00785E3C"/>
    <w:rsid w:val="00813830"/>
    <w:rsid w:val="008270E3"/>
    <w:rsid w:val="00836C6E"/>
    <w:rsid w:val="00903E39"/>
    <w:rsid w:val="00943094"/>
    <w:rsid w:val="00952D74"/>
    <w:rsid w:val="00964B5C"/>
    <w:rsid w:val="009A1315"/>
    <w:rsid w:val="00A42276"/>
    <w:rsid w:val="00A7718C"/>
    <w:rsid w:val="00A85FE7"/>
    <w:rsid w:val="00AD1215"/>
    <w:rsid w:val="00AE7FA7"/>
    <w:rsid w:val="00B53D9A"/>
    <w:rsid w:val="00B63998"/>
    <w:rsid w:val="00BB7772"/>
    <w:rsid w:val="00BE3835"/>
    <w:rsid w:val="00CA35A4"/>
    <w:rsid w:val="00D41AFB"/>
    <w:rsid w:val="00D558E9"/>
    <w:rsid w:val="00D74991"/>
    <w:rsid w:val="00DA7B7F"/>
    <w:rsid w:val="00DE325F"/>
    <w:rsid w:val="00E33DB7"/>
    <w:rsid w:val="00E80BE7"/>
    <w:rsid w:val="00F8383C"/>
    <w:rsid w:val="00FA793E"/>
    <w:rsid w:val="00F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38D72"/>
  <w15:docId w15:val="{B68B352C-2142-416F-85A0-58B84783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5E3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03E39"/>
    <w:pPr>
      <w:keepNext/>
      <w:jc w:val="center"/>
      <w:outlineLvl w:val="0"/>
    </w:pPr>
    <w:rPr>
      <w:b/>
      <w:sz w:val="32"/>
      <w:szCs w:val="20"/>
    </w:rPr>
  </w:style>
  <w:style w:type="paragraph" w:styleId="Cmsor2">
    <w:name w:val="heading 2"/>
    <w:basedOn w:val="Norml"/>
    <w:next w:val="Norml"/>
    <w:link w:val="Cmsor2Char"/>
    <w:qFormat/>
    <w:rsid w:val="00903E39"/>
    <w:pPr>
      <w:keepNext/>
      <w:jc w:val="center"/>
      <w:outlineLvl w:val="1"/>
    </w:pPr>
    <w:rPr>
      <w:sz w:val="28"/>
      <w:szCs w:val="20"/>
    </w:rPr>
  </w:style>
  <w:style w:type="paragraph" w:styleId="Cmsor3">
    <w:name w:val="heading 3"/>
    <w:basedOn w:val="Norml"/>
    <w:next w:val="Norml"/>
    <w:link w:val="Cmsor3Char"/>
    <w:qFormat/>
    <w:rsid w:val="00903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03E39"/>
    <w:rPr>
      <w:b/>
      <w:sz w:val="32"/>
    </w:rPr>
  </w:style>
  <w:style w:type="character" w:customStyle="1" w:styleId="Cmsor2Char">
    <w:name w:val="Címsor 2 Char"/>
    <w:basedOn w:val="Bekezdsalapbettpusa"/>
    <w:link w:val="Cmsor2"/>
    <w:rsid w:val="00903E39"/>
    <w:rPr>
      <w:sz w:val="28"/>
    </w:rPr>
  </w:style>
  <w:style w:type="character" w:customStyle="1" w:styleId="Cmsor3Char">
    <w:name w:val="Címsor 3 Char"/>
    <w:basedOn w:val="Bekezdsalapbettpusa"/>
    <w:link w:val="Cmsor3"/>
    <w:rsid w:val="00903E39"/>
    <w:rPr>
      <w:rFonts w:ascii="Arial" w:hAnsi="Arial" w:cs="Arial"/>
      <w:b/>
      <w:bCs/>
      <w:sz w:val="26"/>
      <w:szCs w:val="26"/>
    </w:rPr>
  </w:style>
  <w:style w:type="paragraph" w:styleId="Cm">
    <w:name w:val="Title"/>
    <w:aliases w:val="Char Char,Char"/>
    <w:basedOn w:val="Norml"/>
    <w:link w:val="CmChar"/>
    <w:qFormat/>
    <w:rsid w:val="00785E3C"/>
    <w:pPr>
      <w:jc w:val="center"/>
    </w:pPr>
    <w:rPr>
      <w:b/>
      <w:bCs/>
    </w:rPr>
  </w:style>
  <w:style w:type="character" w:customStyle="1" w:styleId="CmChar">
    <w:name w:val="Cím Char"/>
    <w:aliases w:val="Char Char Char,Char Char1"/>
    <w:basedOn w:val="Bekezdsalapbettpusa"/>
    <w:link w:val="Cm"/>
    <w:rsid w:val="00785E3C"/>
    <w:rPr>
      <w:b/>
      <w:bCs/>
      <w:sz w:val="24"/>
      <w:szCs w:val="24"/>
    </w:rPr>
  </w:style>
  <w:style w:type="paragraph" w:styleId="Szvegtrzsbehzssal">
    <w:name w:val="Body Text Indent"/>
    <w:basedOn w:val="Norml"/>
    <w:link w:val="SzvegtrzsbehzssalChar"/>
    <w:rsid w:val="00785E3C"/>
    <w:pPr>
      <w:tabs>
        <w:tab w:val="left" w:pos="7513"/>
      </w:tabs>
      <w:ind w:left="360"/>
    </w:pPr>
    <w:rPr>
      <w:sz w:val="26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785E3C"/>
    <w:rPr>
      <w:sz w:val="26"/>
    </w:rPr>
  </w:style>
  <w:style w:type="table" w:styleId="Rcsostblzat">
    <w:name w:val="Table Grid"/>
    <w:basedOn w:val="Normltblzat"/>
    <w:uiPriority w:val="59"/>
    <w:rsid w:val="00FD6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5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377</Words>
  <Characters>2602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36307975637</cp:lastModifiedBy>
  <cp:revision>3</cp:revision>
  <dcterms:created xsi:type="dcterms:W3CDTF">2024-11-14T14:07:00Z</dcterms:created>
  <dcterms:modified xsi:type="dcterms:W3CDTF">2024-11-14T14:50:00Z</dcterms:modified>
</cp:coreProperties>
</file>