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655EB" w14:textId="7A3254BF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alibri" w:eastAsia="Tahoma" w:hAnsi="Calibri" w:cs="Times New Roman"/>
          <w:b/>
          <w:bCs/>
          <w:kern w:val="0"/>
          <w14:ligatures w14:val="none"/>
        </w:rPr>
      </w:pPr>
      <w:r w:rsidRPr="003003C8">
        <w:rPr>
          <w:rFonts w:ascii="Tahoma" w:eastAsia="Tahoma" w:hAnsi="Tahoma" w:cs="Times New Roman"/>
          <w:b/>
          <w:bCs/>
          <w:noProof/>
          <w:kern w:val="0"/>
          <w:lang w:eastAsia="hu-HU"/>
          <w14:ligatures w14:val="none"/>
        </w:rPr>
        <w:drawing>
          <wp:inline distT="0" distB="0" distL="0" distR="0" wp14:anchorId="7B1B025B" wp14:editId="716EA064">
            <wp:extent cx="1094105" cy="1256665"/>
            <wp:effectExtent l="0" t="0" r="0" b="635"/>
            <wp:docPr id="1417687702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AF1C2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alibri" w:eastAsia="Tahoma" w:hAnsi="Calibri" w:cs="Times New Roman"/>
          <w:b/>
          <w:bCs/>
          <w:kern w:val="0"/>
          <w14:ligatures w14:val="none"/>
        </w:rPr>
      </w:pPr>
    </w:p>
    <w:p w14:paraId="56699410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alibri" w:eastAsia="Tahoma" w:hAnsi="Calibri" w:cs="Times New Roman"/>
          <w:b/>
          <w:bCs/>
          <w:kern w:val="0"/>
          <w14:ligatures w14:val="none"/>
        </w:rPr>
      </w:pPr>
    </w:p>
    <w:p w14:paraId="2B621BEE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56"/>
          <w:szCs w:val="56"/>
          <w14:ligatures w14:val="none"/>
        </w:rPr>
      </w:pPr>
      <w:r w:rsidRPr="003003C8">
        <w:rPr>
          <w:rFonts w:ascii="Century Gothic" w:eastAsia="Tahoma" w:hAnsi="Century Gothic" w:cs="Times New Roman"/>
          <w:b/>
          <w:bCs/>
          <w:kern w:val="0"/>
          <w:sz w:val="56"/>
          <w:szCs w:val="56"/>
          <w14:ligatures w14:val="none"/>
        </w:rPr>
        <w:t>ELŐTERJESZTÉS</w:t>
      </w:r>
    </w:p>
    <w:p w14:paraId="6DD64570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36"/>
          <w:szCs w:val="36"/>
          <w14:ligatures w14:val="none"/>
        </w:rPr>
      </w:pPr>
    </w:p>
    <w:p w14:paraId="5032BA92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36"/>
          <w:szCs w:val="36"/>
          <w14:ligatures w14:val="none"/>
        </w:rPr>
      </w:pPr>
    </w:p>
    <w:p w14:paraId="452C47A2" w14:textId="76CFC890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40"/>
          <w:szCs w:val="40"/>
          <w14:ligatures w14:val="none"/>
        </w:rPr>
      </w:pPr>
      <w:r w:rsidRPr="003003C8">
        <w:rPr>
          <w:rFonts w:ascii="Century Gothic" w:eastAsia="Tahoma" w:hAnsi="Century Gothic" w:cs="Times New Roman"/>
          <w:b/>
          <w:bCs/>
          <w:kern w:val="0"/>
          <w:sz w:val="40"/>
          <w:szCs w:val="40"/>
          <w14:ligatures w14:val="none"/>
        </w:rPr>
        <w:t xml:space="preserve">BALATONBERÉNY KÖZSÉG </w:t>
      </w:r>
      <w:r w:rsidR="00481AB3">
        <w:rPr>
          <w:rFonts w:ascii="Century Gothic" w:eastAsia="Tahoma" w:hAnsi="Century Gothic" w:cs="Times New Roman"/>
          <w:b/>
          <w:bCs/>
          <w:kern w:val="0"/>
          <w:sz w:val="40"/>
          <w:szCs w:val="40"/>
          <w14:ligatures w14:val="none"/>
        </w:rPr>
        <w:t>ÖNKORMÁNYZAT KÉPVISELŐ-TESTÜLETÉNEK</w:t>
      </w:r>
    </w:p>
    <w:p w14:paraId="4EC4EE76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</w:pPr>
    </w:p>
    <w:p w14:paraId="73FD122F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</w:pPr>
    </w:p>
    <w:p w14:paraId="4EAF95CD" w14:textId="0FE2233D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</w:pPr>
      <w:r w:rsidRPr="003003C8"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  <w:t xml:space="preserve">2024. </w:t>
      </w:r>
      <w:r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  <w:t>szeptember 19</w:t>
      </w:r>
      <w:r w:rsidRPr="003003C8"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  <w:t xml:space="preserve">-i  </w:t>
      </w:r>
    </w:p>
    <w:p w14:paraId="4112B5B6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</w:pPr>
      <w:r w:rsidRPr="003003C8"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  <w:t>nyilvános ülésére</w:t>
      </w:r>
    </w:p>
    <w:p w14:paraId="05D1D19A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</w:pPr>
    </w:p>
    <w:p w14:paraId="5D62A330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</w:pPr>
    </w:p>
    <w:p w14:paraId="2C1B42A7" w14:textId="77777777" w:rsidR="003003C8" w:rsidRDefault="003003C8" w:rsidP="003003C8">
      <w:pPr>
        <w:widowControl w:val="0"/>
        <w:spacing w:after="0" w:line="240" w:lineRule="auto"/>
        <w:ind w:left="137" w:right="92"/>
        <w:jc w:val="center"/>
        <w:outlineLvl w:val="1"/>
        <w:rPr>
          <w:rFonts w:ascii="Century Gothic" w:eastAsia="Tahoma" w:hAnsi="Century Gothic" w:cs="Times New Roman"/>
          <w:b/>
          <w:bCs/>
          <w:spacing w:val="-2"/>
          <w:kern w:val="0"/>
          <w:sz w:val="44"/>
          <w:szCs w:val="44"/>
          <w14:ligatures w14:val="none"/>
        </w:rPr>
      </w:pPr>
      <w:r w:rsidRPr="003003C8">
        <w:rPr>
          <w:rFonts w:ascii="Century Gothic" w:eastAsia="Tahoma" w:hAnsi="Century Gothic" w:cs="Times New Roman"/>
          <w:b/>
          <w:bCs/>
          <w:spacing w:val="-1"/>
          <w:kern w:val="0"/>
          <w:sz w:val="44"/>
          <w:szCs w:val="44"/>
          <w14:ligatures w14:val="none"/>
        </w:rPr>
        <w:t>T</w:t>
      </w:r>
      <w:r w:rsidRPr="003003C8">
        <w:rPr>
          <w:rFonts w:ascii="Century Gothic" w:eastAsia="Tahoma" w:hAnsi="Century Gothic" w:cs="Times New Roman"/>
          <w:b/>
          <w:bCs/>
          <w:spacing w:val="2"/>
          <w:kern w:val="0"/>
          <w:sz w:val="44"/>
          <w:szCs w:val="44"/>
          <w14:ligatures w14:val="none"/>
        </w:rPr>
        <w:t>á</w:t>
      </w:r>
      <w:r w:rsidRPr="003003C8">
        <w:rPr>
          <w:rFonts w:ascii="Century Gothic" w:eastAsia="Tahoma" w:hAnsi="Century Gothic" w:cs="Times New Roman"/>
          <w:b/>
          <w:bCs/>
          <w:kern w:val="0"/>
          <w:sz w:val="44"/>
          <w:szCs w:val="44"/>
          <w14:ligatures w14:val="none"/>
        </w:rPr>
        <w:t>rg</w:t>
      </w:r>
      <w:r w:rsidRPr="003003C8">
        <w:rPr>
          <w:rFonts w:ascii="Century Gothic" w:eastAsia="Tahoma" w:hAnsi="Century Gothic" w:cs="Times New Roman"/>
          <w:b/>
          <w:bCs/>
          <w:spacing w:val="-2"/>
          <w:kern w:val="0"/>
          <w:sz w:val="44"/>
          <w:szCs w:val="44"/>
          <w14:ligatures w14:val="none"/>
        </w:rPr>
        <w:t>y:</w:t>
      </w:r>
    </w:p>
    <w:p w14:paraId="0A43249D" w14:textId="77777777" w:rsidR="00077137" w:rsidRPr="003003C8" w:rsidRDefault="00077137" w:rsidP="003003C8">
      <w:pPr>
        <w:widowControl w:val="0"/>
        <w:spacing w:after="0" w:line="240" w:lineRule="auto"/>
        <w:ind w:left="137" w:right="92"/>
        <w:jc w:val="center"/>
        <w:outlineLvl w:val="1"/>
        <w:rPr>
          <w:rFonts w:ascii="Century Gothic" w:eastAsia="Tahoma" w:hAnsi="Century Gothic" w:cs="Times New Roman"/>
          <w:b/>
          <w:bCs/>
          <w:spacing w:val="-2"/>
          <w:kern w:val="0"/>
          <w:sz w:val="44"/>
          <w:szCs w:val="44"/>
          <w14:ligatures w14:val="none"/>
        </w:rPr>
      </w:pPr>
    </w:p>
    <w:p w14:paraId="14831314" w14:textId="295CC401" w:rsidR="003003C8" w:rsidRPr="003003C8" w:rsidRDefault="003003C8" w:rsidP="00077137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Cs/>
          <w:spacing w:val="-2"/>
          <w:kern w:val="0"/>
          <w:sz w:val="40"/>
          <w:szCs w:val="40"/>
          <w14:ligatures w14:val="none"/>
        </w:rPr>
      </w:pPr>
      <w:r w:rsidRPr="00077137">
        <w:rPr>
          <w:rFonts w:ascii="Century Gothic" w:eastAsia="Tahoma" w:hAnsi="Century Gothic" w:cs="Times New Roman"/>
          <w:b/>
          <w:bCs/>
          <w:spacing w:val="-2"/>
          <w:kern w:val="0"/>
          <w:sz w:val="40"/>
          <w:szCs w:val="40"/>
          <w14:ligatures w14:val="none"/>
        </w:rPr>
        <w:t>Elvi döntés a kísérleti partszakasz egy részén fürdőhely kijelölési eljárás megindításáról</w:t>
      </w:r>
    </w:p>
    <w:p w14:paraId="7161FA7B" w14:textId="77777777" w:rsidR="00077137" w:rsidRDefault="00077137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36"/>
          <w:szCs w:val="36"/>
          <w14:ligatures w14:val="none"/>
        </w:rPr>
      </w:pPr>
    </w:p>
    <w:p w14:paraId="7E5C5997" w14:textId="77777777" w:rsidR="00077137" w:rsidRDefault="00077137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36"/>
          <w:szCs w:val="36"/>
          <w14:ligatures w14:val="none"/>
        </w:rPr>
      </w:pPr>
    </w:p>
    <w:p w14:paraId="037F9001" w14:textId="56D32C6E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kern w:val="0"/>
          <w:sz w:val="36"/>
          <w:szCs w:val="36"/>
          <w14:ligatures w14:val="none"/>
        </w:rPr>
      </w:pPr>
      <w:r w:rsidRPr="003003C8">
        <w:rPr>
          <w:rFonts w:ascii="Century Gothic" w:eastAsia="Tahoma" w:hAnsi="Century Gothic" w:cs="Times New Roman"/>
          <w:b/>
          <w:bCs/>
          <w:kern w:val="0"/>
          <w:sz w:val="36"/>
          <w:szCs w:val="36"/>
          <w14:ligatures w14:val="none"/>
        </w:rPr>
        <w:t xml:space="preserve">Előadó: </w:t>
      </w:r>
    </w:p>
    <w:p w14:paraId="4FC43082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Cs/>
          <w:kern w:val="0"/>
          <w:sz w:val="36"/>
          <w:szCs w:val="36"/>
          <w14:ligatures w14:val="none"/>
        </w:rPr>
      </w:pPr>
      <w:proofErr w:type="spellStart"/>
      <w:r w:rsidRPr="003003C8">
        <w:rPr>
          <w:rFonts w:ascii="Century Gothic" w:eastAsia="Tahoma" w:hAnsi="Century Gothic" w:cs="Times New Roman"/>
          <w:bCs/>
          <w:kern w:val="0"/>
          <w:sz w:val="36"/>
          <w:szCs w:val="36"/>
          <w14:ligatures w14:val="none"/>
        </w:rPr>
        <w:t>Druskoczi</w:t>
      </w:r>
      <w:proofErr w:type="spellEnd"/>
      <w:r w:rsidRPr="003003C8">
        <w:rPr>
          <w:rFonts w:ascii="Century Gothic" w:eastAsia="Tahoma" w:hAnsi="Century Gothic" w:cs="Times New Roman"/>
          <w:bCs/>
          <w:kern w:val="0"/>
          <w:sz w:val="36"/>
          <w:szCs w:val="36"/>
          <w14:ligatures w14:val="none"/>
        </w:rPr>
        <w:t xml:space="preserve"> Tünde</w:t>
      </w:r>
    </w:p>
    <w:p w14:paraId="3485C345" w14:textId="77777777" w:rsidR="003003C8" w:rsidRPr="003003C8" w:rsidRDefault="003003C8" w:rsidP="003003C8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Cs/>
          <w:kern w:val="0"/>
          <w:sz w:val="36"/>
          <w:szCs w:val="36"/>
          <w14:ligatures w14:val="none"/>
        </w:rPr>
      </w:pPr>
      <w:r w:rsidRPr="003003C8">
        <w:rPr>
          <w:rFonts w:ascii="Century Gothic" w:eastAsia="Tahoma" w:hAnsi="Century Gothic" w:cs="Times New Roman"/>
          <w:bCs/>
          <w:kern w:val="0"/>
          <w:sz w:val="36"/>
          <w:szCs w:val="36"/>
          <w14:ligatures w14:val="none"/>
        </w:rPr>
        <w:t>polgármester</w:t>
      </w:r>
    </w:p>
    <w:p w14:paraId="0AA0F1F4" w14:textId="77777777" w:rsidR="003003C8" w:rsidRPr="003003C8" w:rsidRDefault="003003C8" w:rsidP="003003C8">
      <w:pPr>
        <w:spacing w:after="200" w:line="276" w:lineRule="auto"/>
        <w:rPr>
          <w:rFonts w:ascii="Century Gothic" w:eastAsia="Calibri" w:hAnsi="Century Gothic" w:cs="Times New Roman"/>
          <w:b/>
          <w:bCs/>
          <w:kern w:val="0"/>
          <w14:ligatures w14:val="none"/>
        </w:rPr>
      </w:pPr>
    </w:p>
    <w:p w14:paraId="5B6EE6D8" w14:textId="77777777" w:rsidR="003003C8" w:rsidRPr="003003C8" w:rsidRDefault="003003C8" w:rsidP="003003C8">
      <w:pPr>
        <w:spacing w:after="200" w:line="276" w:lineRule="auto"/>
        <w:rPr>
          <w:rFonts w:ascii="Century Gothic" w:eastAsia="Calibri" w:hAnsi="Century Gothic" w:cs="Times New Roman"/>
          <w:b/>
          <w:bCs/>
          <w:kern w:val="0"/>
          <w14:ligatures w14:val="none"/>
        </w:rPr>
      </w:pPr>
    </w:p>
    <w:p w14:paraId="707989B8" w14:textId="3672317A" w:rsidR="00C00488" w:rsidRPr="00077137" w:rsidRDefault="00C00488" w:rsidP="003A18BA">
      <w:pPr>
        <w:rPr>
          <w:rFonts w:ascii="Century Gothic" w:hAnsi="Century Gothic"/>
        </w:rPr>
      </w:pPr>
      <w:r w:rsidRPr="00077137">
        <w:rPr>
          <w:rFonts w:ascii="Century Gothic" w:hAnsi="Century Gothic"/>
        </w:rPr>
        <w:lastRenderedPageBreak/>
        <w:t>Tisztelt Képviselő-testület!</w:t>
      </w:r>
    </w:p>
    <w:p w14:paraId="32495DCD" w14:textId="77777777" w:rsidR="00C00488" w:rsidRPr="00077137" w:rsidRDefault="00C00488" w:rsidP="003A18BA">
      <w:pPr>
        <w:rPr>
          <w:rFonts w:ascii="Century Gothic" w:hAnsi="Century Gothic"/>
        </w:rPr>
      </w:pPr>
    </w:p>
    <w:p w14:paraId="755571DA" w14:textId="316C8461" w:rsidR="00C00488" w:rsidRPr="00077137" w:rsidRDefault="00C00488" w:rsidP="00C00488">
      <w:pPr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>A 2022-2024. önkormányzati ciklusterv tartalmazza a kísérleti partszakaszon szabadstrand kialakítására és üzemeltetésére vonatkozó célkitűzést. Ennek teljesülését szorgalmazza a Balatonberényi Fürdő és Szabadidő Egyesület.</w:t>
      </w:r>
      <w:r w:rsidR="00151881" w:rsidRPr="00077137">
        <w:rPr>
          <w:rFonts w:ascii="Century Gothic" w:hAnsi="Century Gothic"/>
        </w:rPr>
        <w:t xml:space="preserve"> Az Egyesület elnöke a közelmúltban ismételten megkeresett a fürdőhely kijelölési eljárás megindítása érdekében.</w:t>
      </w:r>
    </w:p>
    <w:p w14:paraId="684280F9" w14:textId="604A1FC8" w:rsidR="00C0385E" w:rsidRPr="00077137" w:rsidRDefault="00151881" w:rsidP="00151881">
      <w:pPr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A vonatkozó jogszabályi előírásokat áttekintve első lépésként az önkormányzatnak döntést kell hoznia az eljárás megindításáról, </w:t>
      </w:r>
      <w:r w:rsidR="003003C8" w:rsidRPr="00077137">
        <w:rPr>
          <w:rFonts w:ascii="Century Gothic" w:hAnsi="Century Gothic"/>
        </w:rPr>
        <w:t>ezt követően</w:t>
      </w:r>
      <w:r w:rsidRPr="00077137">
        <w:rPr>
          <w:rFonts w:ascii="Century Gothic" w:hAnsi="Century Gothic"/>
        </w:rPr>
        <w:t xml:space="preserve"> a</w:t>
      </w:r>
      <w:r w:rsidR="003A18BA" w:rsidRPr="00077137">
        <w:rPr>
          <w:rFonts w:ascii="Century Gothic" w:hAnsi="Century Gothic"/>
        </w:rPr>
        <w:t xml:space="preserve"> vízparti terület tulajdonosának kérelmére a kormányhivatal fürdőhely kijelölési eljárást folytat le a 78/2008. (IV. 3.) Korm. rendeletben foglalt</w:t>
      </w:r>
      <w:r w:rsidRPr="00077137">
        <w:rPr>
          <w:rFonts w:ascii="Century Gothic" w:hAnsi="Century Gothic"/>
        </w:rPr>
        <w:t>a</w:t>
      </w:r>
      <w:r w:rsidR="003A18BA" w:rsidRPr="00077137">
        <w:rPr>
          <w:rFonts w:ascii="Century Gothic" w:hAnsi="Century Gothic"/>
        </w:rPr>
        <w:t xml:space="preserve">k szerint. </w:t>
      </w:r>
    </w:p>
    <w:p w14:paraId="4FD82EFA" w14:textId="7FA85026" w:rsidR="003003C8" w:rsidRPr="00077137" w:rsidRDefault="003003C8" w:rsidP="00151881">
      <w:pPr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Fürdőhelynél a várható legnagyobb vendégszámra vonatkozóan egy főre számítva 10 m2 pihenést szolgáló területet kell biztosítani. A kísérleti partszakaszon kijelölhető lehetséges fürdőhelyet – ahol a szükséges infrastruktúra már adott - a </w:t>
      </w:r>
      <w:r w:rsidR="00077137">
        <w:rPr>
          <w:rFonts w:ascii="Century Gothic" w:hAnsi="Century Gothic"/>
        </w:rPr>
        <w:t xml:space="preserve">mellékletben </w:t>
      </w:r>
      <w:r w:rsidRPr="00077137">
        <w:rPr>
          <w:rFonts w:ascii="Century Gothic" w:hAnsi="Century Gothic"/>
        </w:rPr>
        <w:t>csatolt térképrészlet mutatja.</w:t>
      </w:r>
    </w:p>
    <w:p w14:paraId="586CF5DA" w14:textId="0E5FAC90" w:rsidR="003A18BA" w:rsidRPr="00077137" w:rsidRDefault="003A18BA" w:rsidP="00C00488">
      <w:pPr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A fürdőhely kijelölését megelőzően a kormányhivatal helyszíni szemlét tart a szakhatóságok, a fürdőhely fekvése szerint illetékes települési önkormányzat jegyzője és a fürdőhely kijelölését kérelmező részvételével. </w:t>
      </w:r>
    </w:p>
    <w:p w14:paraId="0B5D7434" w14:textId="2552E15E" w:rsidR="00C00488" w:rsidRPr="00077137" w:rsidRDefault="00C00488" w:rsidP="00151881">
      <w:pPr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A kormányhivatal a fürdővíz használatát akkor engedélyezi, illetve a fürdőhelyet akkor jelöli ki, ha a fürdővíz minősége legalább „tűrhető” és a fürdőhely az üzemeltetésre vonatkozó közegészségügyi előírásoknak megfelel. </w:t>
      </w:r>
    </w:p>
    <w:p w14:paraId="20CAFCF5" w14:textId="2597C25A" w:rsidR="00C00488" w:rsidRPr="00077137" w:rsidRDefault="003A18BA" w:rsidP="00C00488">
      <w:pPr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A helyszíni szemle során </w:t>
      </w:r>
      <w:r w:rsidR="00C00488" w:rsidRPr="00077137">
        <w:rPr>
          <w:rFonts w:ascii="Century Gothic" w:hAnsi="Century Gothic"/>
        </w:rPr>
        <w:t xml:space="preserve">ezért a szakhatóságnak </w:t>
      </w:r>
      <w:r w:rsidRPr="00077137">
        <w:rPr>
          <w:rFonts w:ascii="Century Gothic" w:hAnsi="Century Gothic"/>
        </w:rPr>
        <w:t>vizsgálni</w:t>
      </w:r>
      <w:r w:rsidR="00C00488" w:rsidRPr="00077137">
        <w:rPr>
          <w:rFonts w:ascii="Century Gothic" w:hAnsi="Century Gothic"/>
        </w:rPr>
        <w:t>a</w:t>
      </w:r>
      <w:r w:rsidRPr="00077137">
        <w:rPr>
          <w:rFonts w:ascii="Century Gothic" w:hAnsi="Century Gothic"/>
        </w:rPr>
        <w:t xml:space="preserve"> kell a fürdővíz és a hozzá tartozó terület alkalmasságát, meg kell állapítani a) a fürdővíz, illetve fürdőhely határait, valamint a megjelölésükre szolgáló eszközök számát és elhelyezésük módját, b) a minőségellenőrzés céljára szolgáló mintavételi pontot, c) a mély víz megjelölésére szolgáló eszközök számát, d) azt a vízállástartományt, amelynél a fürdőhely üzemeltethető. </w:t>
      </w:r>
    </w:p>
    <w:p w14:paraId="4A07BEB3" w14:textId="7C5BDFD3" w:rsidR="00C00488" w:rsidRPr="00077137" w:rsidRDefault="00151881">
      <w:pPr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A kijelölési eljárás lefolytatása </w:t>
      </w:r>
      <w:r w:rsidR="003003C8" w:rsidRPr="00077137">
        <w:rPr>
          <w:rFonts w:ascii="Century Gothic" w:hAnsi="Century Gothic"/>
        </w:rPr>
        <w:t xml:space="preserve">8.000 Ft </w:t>
      </w:r>
      <w:r w:rsidRPr="00077137">
        <w:rPr>
          <w:rFonts w:ascii="Century Gothic" w:hAnsi="Century Gothic"/>
        </w:rPr>
        <w:t>költséggel jár.</w:t>
      </w:r>
    </w:p>
    <w:p w14:paraId="6EDB3B39" w14:textId="77DC3913" w:rsidR="00151881" w:rsidRPr="00077137" w:rsidRDefault="00077137" w:rsidP="003003C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Fentiek alapján j</w:t>
      </w:r>
      <w:r w:rsidR="00151881" w:rsidRPr="00077137">
        <w:rPr>
          <w:rFonts w:ascii="Century Gothic" w:hAnsi="Century Gothic"/>
        </w:rPr>
        <w:t xml:space="preserve">avaslom, hogy a T. Képviselő-testület döntsön arról, hogy kíván-e </w:t>
      </w:r>
      <w:r w:rsidR="003003C8" w:rsidRPr="00077137">
        <w:rPr>
          <w:rFonts w:ascii="Century Gothic" w:hAnsi="Century Gothic"/>
        </w:rPr>
        <w:t xml:space="preserve">szabadstrand céljára </w:t>
      </w:r>
      <w:r w:rsidR="00151881" w:rsidRPr="00077137">
        <w:rPr>
          <w:rFonts w:ascii="Century Gothic" w:hAnsi="Century Gothic"/>
        </w:rPr>
        <w:t>fürdőhely</w:t>
      </w:r>
      <w:r w:rsidR="003003C8" w:rsidRPr="00077137">
        <w:rPr>
          <w:rFonts w:ascii="Century Gothic" w:hAnsi="Century Gothic"/>
        </w:rPr>
        <w:t>et</w:t>
      </w:r>
      <w:r w:rsidR="00151881" w:rsidRPr="00077137">
        <w:rPr>
          <w:rFonts w:ascii="Century Gothic" w:hAnsi="Century Gothic"/>
        </w:rPr>
        <w:t xml:space="preserve"> kijelöl</w:t>
      </w:r>
      <w:r w:rsidR="003003C8" w:rsidRPr="00077137">
        <w:rPr>
          <w:rFonts w:ascii="Century Gothic" w:hAnsi="Century Gothic"/>
        </w:rPr>
        <w:t>tetni a kísérleti partszakaszon, illetve megindítja-e a fürdőhely kijelölési eljárást.</w:t>
      </w:r>
    </w:p>
    <w:p w14:paraId="4F21C03A" w14:textId="5A926A2C" w:rsidR="003003C8" w:rsidRDefault="00481AB3" w:rsidP="003003C8">
      <w:pPr>
        <w:jc w:val="both"/>
        <w:rPr>
          <w:rFonts w:ascii="Century Gothic" w:hAnsi="Century Gothic"/>
          <w:b/>
          <w:bCs/>
        </w:rPr>
      </w:pPr>
      <w:r w:rsidRPr="00481AB3">
        <w:rPr>
          <w:rFonts w:ascii="Century Gothic" w:hAnsi="Century Gothic"/>
          <w:b/>
        </w:rPr>
        <w:t>Döntési</w:t>
      </w:r>
      <w:r w:rsidR="003003C8" w:rsidRPr="00481AB3">
        <w:rPr>
          <w:rFonts w:ascii="Century Gothic" w:hAnsi="Century Gothic"/>
          <w:b/>
          <w:bCs/>
        </w:rPr>
        <w:t xml:space="preserve"> j</w:t>
      </w:r>
      <w:r w:rsidR="003003C8" w:rsidRPr="00077137">
        <w:rPr>
          <w:rFonts w:ascii="Century Gothic" w:hAnsi="Century Gothic"/>
          <w:b/>
          <w:bCs/>
        </w:rPr>
        <w:t>avaslat:</w:t>
      </w:r>
    </w:p>
    <w:p w14:paraId="1CB9D2BC" w14:textId="079A6194" w:rsidR="00077137" w:rsidRPr="00077137" w:rsidRDefault="00481AB3" w:rsidP="00481AB3">
      <w:pPr>
        <w:jc w:val="center"/>
        <w:rPr>
          <w:rFonts w:ascii="Century Gothic" w:hAnsi="Century Gothic"/>
          <w:b/>
          <w:bCs/>
          <w:u w:val="single"/>
        </w:rPr>
      </w:pPr>
      <w:r w:rsidRPr="00481AB3">
        <w:rPr>
          <w:rFonts w:ascii="Century Gothic" w:hAnsi="Century Gothic"/>
          <w:b/>
          <w:bCs/>
          <w:u w:val="single"/>
        </w:rPr>
        <w:t xml:space="preserve">Balatonberény község Önkormányzat </w:t>
      </w:r>
      <w:proofErr w:type="gramStart"/>
      <w:r w:rsidRPr="00481AB3">
        <w:rPr>
          <w:rFonts w:ascii="Century Gothic" w:hAnsi="Century Gothic"/>
          <w:b/>
          <w:bCs/>
          <w:u w:val="single"/>
        </w:rPr>
        <w:t>Képviselő-testületének ..</w:t>
      </w:r>
      <w:proofErr w:type="gramEnd"/>
      <w:r w:rsidRPr="00481AB3">
        <w:rPr>
          <w:rFonts w:ascii="Century Gothic" w:hAnsi="Century Gothic"/>
          <w:b/>
          <w:bCs/>
          <w:u w:val="single"/>
        </w:rPr>
        <w:t xml:space="preserve">/2024.(IX.19.) határozata </w:t>
      </w:r>
      <w:r>
        <w:rPr>
          <w:rFonts w:ascii="Century Gothic" w:hAnsi="Century Gothic"/>
          <w:b/>
          <w:bCs/>
          <w:u w:val="single"/>
        </w:rPr>
        <w:t>e</w:t>
      </w:r>
      <w:r w:rsidR="00077137" w:rsidRPr="00077137">
        <w:rPr>
          <w:rFonts w:ascii="Century Gothic" w:hAnsi="Century Gothic"/>
          <w:b/>
          <w:bCs/>
          <w:u w:val="single"/>
        </w:rPr>
        <w:t>lvi döntés</w:t>
      </w:r>
      <w:r>
        <w:rPr>
          <w:rFonts w:ascii="Century Gothic" w:hAnsi="Century Gothic"/>
          <w:b/>
          <w:bCs/>
          <w:u w:val="single"/>
        </w:rPr>
        <w:t>ről</w:t>
      </w:r>
      <w:r w:rsidR="00077137" w:rsidRPr="00077137">
        <w:rPr>
          <w:rFonts w:ascii="Century Gothic" w:hAnsi="Century Gothic"/>
          <w:b/>
          <w:bCs/>
          <w:u w:val="single"/>
        </w:rPr>
        <w:t xml:space="preserve"> a kísérleti partszakasz egy részén fürdőhely kijelölési eljárás megindításáról</w:t>
      </w:r>
    </w:p>
    <w:p w14:paraId="1796D4A0" w14:textId="2D23F1FC" w:rsidR="003003C8" w:rsidRPr="00077137" w:rsidRDefault="00077137" w:rsidP="003003C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A/. </w:t>
      </w:r>
      <w:r w:rsidR="003003C8" w:rsidRPr="00077137">
        <w:rPr>
          <w:rFonts w:ascii="Century Gothic" w:hAnsi="Century Gothic"/>
        </w:rPr>
        <w:t>Balatonberény Község Önkormányzatának Képviselő-testülete támogatja a fürdőhely kijelölési eljárás megindítását és felkéri a polgármestert a kérelem benyújtására.</w:t>
      </w:r>
    </w:p>
    <w:p w14:paraId="196262F1" w14:textId="4D8BFDC5" w:rsidR="003003C8" w:rsidRPr="00077137" w:rsidRDefault="003003C8" w:rsidP="00077137">
      <w:pPr>
        <w:spacing w:after="0"/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>Határidő: 30 nap</w:t>
      </w:r>
    </w:p>
    <w:p w14:paraId="46588C68" w14:textId="4B0C6066" w:rsidR="003003C8" w:rsidRPr="00077137" w:rsidRDefault="003003C8" w:rsidP="00077137">
      <w:pPr>
        <w:spacing w:after="0"/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Felelős: </w:t>
      </w:r>
      <w:proofErr w:type="spellStart"/>
      <w:r w:rsidRPr="00077137">
        <w:rPr>
          <w:rFonts w:ascii="Century Gothic" w:hAnsi="Century Gothic"/>
        </w:rPr>
        <w:t>Druskoczi</w:t>
      </w:r>
      <w:proofErr w:type="spellEnd"/>
      <w:r w:rsidRPr="00077137">
        <w:rPr>
          <w:rFonts w:ascii="Century Gothic" w:hAnsi="Century Gothic"/>
        </w:rPr>
        <w:t xml:space="preserve"> Tünde polgármester</w:t>
      </w:r>
    </w:p>
    <w:p w14:paraId="2138F3E8" w14:textId="77777777" w:rsidR="00077137" w:rsidRDefault="00077137" w:rsidP="00077137">
      <w:pPr>
        <w:jc w:val="both"/>
        <w:rPr>
          <w:rFonts w:ascii="Century Gothic" w:hAnsi="Century Gothic"/>
        </w:rPr>
      </w:pPr>
    </w:p>
    <w:p w14:paraId="23AC041D" w14:textId="2B333228" w:rsidR="00481AB3" w:rsidRPr="00481AB3" w:rsidRDefault="00481AB3" w:rsidP="00077137">
      <w:pPr>
        <w:jc w:val="both"/>
        <w:rPr>
          <w:rFonts w:ascii="Century Gothic" w:hAnsi="Century Gothic"/>
          <w:b/>
        </w:rPr>
      </w:pPr>
      <w:bookmarkStart w:id="0" w:name="_GoBack"/>
      <w:r w:rsidRPr="00481AB3">
        <w:rPr>
          <w:rFonts w:ascii="Century Gothic" w:hAnsi="Century Gothic"/>
          <w:b/>
        </w:rPr>
        <w:lastRenderedPageBreak/>
        <w:t xml:space="preserve">/vagy </w:t>
      </w:r>
    </w:p>
    <w:bookmarkEnd w:id="0"/>
    <w:p w14:paraId="3ECFCE56" w14:textId="77777777" w:rsidR="00481AB3" w:rsidRDefault="00481AB3" w:rsidP="00077137">
      <w:pPr>
        <w:jc w:val="both"/>
        <w:rPr>
          <w:rFonts w:ascii="Century Gothic" w:hAnsi="Century Gothic"/>
        </w:rPr>
      </w:pPr>
    </w:p>
    <w:p w14:paraId="79E733D4" w14:textId="6617EC44" w:rsidR="00077137" w:rsidRDefault="00077137" w:rsidP="0007713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B/. </w:t>
      </w:r>
      <w:r w:rsidRPr="00077137">
        <w:rPr>
          <w:rFonts w:ascii="Century Gothic" w:hAnsi="Century Gothic"/>
        </w:rPr>
        <w:t xml:space="preserve">Balatonberény Község Önkormányzatának Képviselő-testülete </w:t>
      </w:r>
      <w:r>
        <w:rPr>
          <w:rFonts w:ascii="Century Gothic" w:hAnsi="Century Gothic"/>
        </w:rPr>
        <w:t xml:space="preserve">nem </w:t>
      </w:r>
      <w:r w:rsidRPr="00077137">
        <w:rPr>
          <w:rFonts w:ascii="Century Gothic" w:hAnsi="Century Gothic"/>
        </w:rPr>
        <w:t>támogatja a fürdőhely kijelölési eljárás megindítását</w:t>
      </w:r>
    </w:p>
    <w:p w14:paraId="2BF73ABB" w14:textId="77777777" w:rsidR="00077137" w:rsidRDefault="00077137" w:rsidP="00077137">
      <w:pPr>
        <w:jc w:val="both"/>
        <w:rPr>
          <w:rFonts w:ascii="Century Gothic" w:hAnsi="Century Gothic"/>
        </w:rPr>
      </w:pPr>
    </w:p>
    <w:p w14:paraId="7B105BC6" w14:textId="3CF5FA24" w:rsidR="00077137" w:rsidRPr="00077137" w:rsidRDefault="00077137" w:rsidP="00077137">
      <w:pPr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Balatonberény, 2024. </w:t>
      </w:r>
      <w:r>
        <w:rPr>
          <w:rFonts w:ascii="Century Gothic" w:hAnsi="Century Gothic"/>
        </w:rPr>
        <w:t>szeptember 11.</w:t>
      </w:r>
    </w:p>
    <w:p w14:paraId="3D9DA8B3" w14:textId="77777777" w:rsidR="00077137" w:rsidRPr="00077137" w:rsidRDefault="00077137" w:rsidP="00077137">
      <w:pPr>
        <w:jc w:val="both"/>
        <w:rPr>
          <w:rFonts w:ascii="Century Gothic" w:hAnsi="Century Gothic"/>
        </w:rPr>
      </w:pPr>
    </w:p>
    <w:p w14:paraId="645DB8E9" w14:textId="77777777" w:rsidR="00077137" w:rsidRPr="00077137" w:rsidRDefault="00077137" w:rsidP="00077137">
      <w:pPr>
        <w:spacing w:after="0"/>
        <w:ind w:left="6372" w:firstLine="708"/>
        <w:jc w:val="both"/>
        <w:rPr>
          <w:rFonts w:ascii="Century Gothic" w:hAnsi="Century Gothic"/>
        </w:rPr>
      </w:pPr>
      <w:proofErr w:type="spellStart"/>
      <w:r w:rsidRPr="00077137">
        <w:rPr>
          <w:rFonts w:ascii="Century Gothic" w:hAnsi="Century Gothic"/>
        </w:rPr>
        <w:t>Druskoczi</w:t>
      </w:r>
      <w:proofErr w:type="spellEnd"/>
      <w:r w:rsidRPr="00077137">
        <w:rPr>
          <w:rFonts w:ascii="Century Gothic" w:hAnsi="Century Gothic"/>
        </w:rPr>
        <w:t xml:space="preserve"> Tünde </w:t>
      </w:r>
      <w:proofErr w:type="spellStart"/>
      <w:r w:rsidRPr="00077137">
        <w:rPr>
          <w:rFonts w:ascii="Century Gothic" w:hAnsi="Century Gothic"/>
        </w:rPr>
        <w:t>sk</w:t>
      </w:r>
      <w:proofErr w:type="spellEnd"/>
      <w:r w:rsidRPr="00077137">
        <w:rPr>
          <w:rFonts w:ascii="Century Gothic" w:hAnsi="Century Gothic"/>
        </w:rPr>
        <w:t>.</w:t>
      </w:r>
    </w:p>
    <w:p w14:paraId="7A8BB355" w14:textId="5AE6C5BD" w:rsidR="00077137" w:rsidRPr="00077137" w:rsidRDefault="00077137" w:rsidP="00077137">
      <w:pPr>
        <w:spacing w:after="0"/>
        <w:jc w:val="both"/>
        <w:rPr>
          <w:rFonts w:ascii="Century Gothic" w:hAnsi="Century Gothic"/>
        </w:rPr>
      </w:pPr>
      <w:r w:rsidRPr="00077137">
        <w:rPr>
          <w:rFonts w:ascii="Century Gothic" w:hAnsi="Century Gothic"/>
        </w:rPr>
        <w:t xml:space="preserve">                                                                                                             </w:t>
      </w:r>
      <w:r>
        <w:rPr>
          <w:rFonts w:ascii="Century Gothic" w:hAnsi="Century Gothic"/>
        </w:rPr>
        <w:t xml:space="preserve">      </w:t>
      </w:r>
      <w:r w:rsidRPr="00077137">
        <w:rPr>
          <w:rFonts w:ascii="Century Gothic" w:hAnsi="Century Gothic"/>
        </w:rPr>
        <w:t xml:space="preserve">      polgármester</w:t>
      </w:r>
    </w:p>
    <w:p w14:paraId="6A4B09C8" w14:textId="77777777" w:rsidR="00077137" w:rsidRDefault="00077137" w:rsidP="003003C8">
      <w:pPr>
        <w:jc w:val="both"/>
      </w:pPr>
    </w:p>
    <w:sectPr w:rsidR="00077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BA"/>
    <w:rsid w:val="00016876"/>
    <w:rsid w:val="00077137"/>
    <w:rsid w:val="00151881"/>
    <w:rsid w:val="003003C8"/>
    <w:rsid w:val="003A18BA"/>
    <w:rsid w:val="00456232"/>
    <w:rsid w:val="00481AB3"/>
    <w:rsid w:val="00C00488"/>
    <w:rsid w:val="00C0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58A2"/>
  <w15:chartTrackingRefBased/>
  <w15:docId w15:val="{02123D4E-3B60-4F3E-BA59-EC307B584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391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36307975637</dc:creator>
  <cp:keywords/>
  <dc:description/>
  <cp:lastModifiedBy>user</cp:lastModifiedBy>
  <cp:revision>2</cp:revision>
  <dcterms:created xsi:type="dcterms:W3CDTF">2024-09-11T12:22:00Z</dcterms:created>
  <dcterms:modified xsi:type="dcterms:W3CDTF">2024-09-12T06:56:00Z</dcterms:modified>
</cp:coreProperties>
</file>