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b/>
          <w:bCs/>
          <w:sz w:val="48"/>
          <w:szCs w:val="48"/>
          <w:lang w:eastAsia="zh-CN"/>
        </w:rPr>
        <w:t>E L Ő T E R J E S Z T É S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44"/>
          <w:szCs w:val="4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44"/>
          <w:szCs w:val="4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noProof/>
          <w:sz w:val="44"/>
          <w:szCs w:val="44"/>
          <w:lang w:eastAsia="hu-HU"/>
        </w:rPr>
        <w:drawing>
          <wp:inline distT="0" distB="0" distL="0" distR="0">
            <wp:extent cx="1219200" cy="17526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4" t="-17" r="-24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44"/>
          <w:szCs w:val="44"/>
          <w:lang w:eastAsia="zh-CN"/>
        </w:rPr>
        <w:t xml:space="preserve"> Balatonberényi Községi Önkormányzat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b/>
          <w:sz w:val="44"/>
          <w:szCs w:val="44"/>
          <w:lang w:eastAsia="zh-CN"/>
        </w:rPr>
        <w:t xml:space="preserve">     </w:t>
      </w:r>
      <w:r w:rsidRPr="009E1D82">
        <w:rPr>
          <w:rFonts w:ascii="Arial" w:eastAsia="Times New Roman" w:hAnsi="Arial" w:cs="Times New Roman"/>
          <w:sz w:val="44"/>
          <w:szCs w:val="44"/>
          <w:lang w:eastAsia="zh-CN"/>
        </w:rPr>
        <w:t>Képviselő-testületének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36"/>
          <w:szCs w:val="36"/>
          <w:lang w:eastAsia="zh-CN"/>
        </w:rPr>
        <w:t>2025. március 18-i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36"/>
          <w:szCs w:val="36"/>
          <w:lang w:eastAsia="zh-CN"/>
        </w:rPr>
        <w:t xml:space="preserve"> </w:t>
      </w:r>
      <w:proofErr w:type="gramStart"/>
      <w:r w:rsidRPr="009E1D82">
        <w:rPr>
          <w:rFonts w:ascii="Arial" w:eastAsia="Times New Roman" w:hAnsi="Arial" w:cs="Times New Roman"/>
          <w:sz w:val="36"/>
          <w:szCs w:val="36"/>
          <w:lang w:eastAsia="zh-CN"/>
        </w:rPr>
        <w:t>nyilvános</w:t>
      </w:r>
      <w:proofErr w:type="gramEnd"/>
      <w:r w:rsidRPr="009E1D82">
        <w:rPr>
          <w:rFonts w:ascii="Arial" w:eastAsia="Times New Roman" w:hAnsi="Arial" w:cs="Times New Roman"/>
          <w:sz w:val="36"/>
          <w:szCs w:val="36"/>
          <w:lang w:eastAsia="zh-CN"/>
        </w:rPr>
        <w:t xml:space="preserve"> rendkívüli ülésére</w:t>
      </w:r>
    </w:p>
    <w:p w:rsidR="009E1D82" w:rsidRDefault="009E1D82" w:rsidP="009E1D82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24"/>
          <w:szCs w:val="24"/>
          <w:lang w:eastAsia="zh-CN"/>
        </w:rPr>
        <w:t xml:space="preserve">    </w:t>
      </w: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zh-CN"/>
        </w:rPr>
      </w:pPr>
      <w:r w:rsidRPr="009E1D82">
        <w:rPr>
          <w:rFonts w:ascii="Arial" w:eastAsia="Times New Roman" w:hAnsi="Arial" w:cs="Times New Roman"/>
          <w:b/>
          <w:sz w:val="32"/>
          <w:szCs w:val="32"/>
          <w:lang w:eastAsia="zh-CN"/>
        </w:rPr>
        <w:t>Tárgy:</w:t>
      </w: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zh-CN"/>
        </w:rPr>
      </w:pP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9E1D82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TOP_PLUSZ-3.3.2-21 pályázati támogatással megvalósuló </w:t>
      </w: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9E1D82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„Orvosi rendelők felújítása Balatonberényben és Vörsön” című beruházásban döntés a kivitelező kiválasztására irányuló, </w:t>
      </w: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proofErr w:type="gramStart"/>
      <w:r w:rsidRPr="009E1D82">
        <w:rPr>
          <w:rFonts w:ascii="Arial" w:eastAsia="Times New Roman" w:hAnsi="Arial" w:cs="Arial"/>
          <w:b/>
          <w:sz w:val="32"/>
          <w:szCs w:val="32"/>
          <w:lang w:eastAsia="zh-CN"/>
        </w:rPr>
        <w:t>ismételt</w:t>
      </w:r>
      <w:proofErr w:type="gramEnd"/>
      <w:r w:rsidRPr="009E1D82">
        <w:rPr>
          <w:rFonts w:ascii="Arial" w:eastAsia="Times New Roman" w:hAnsi="Arial" w:cs="Arial"/>
          <w:b/>
          <w:sz w:val="32"/>
          <w:szCs w:val="32"/>
          <w:lang w:eastAsia="zh-CN"/>
        </w:rPr>
        <w:t xml:space="preserve"> közbeszerzési eljárás indításáról</w:t>
      </w:r>
    </w:p>
    <w:p w:rsidR="009E1D82" w:rsidRPr="009E1D82" w:rsidRDefault="009E1D82" w:rsidP="009E1D82">
      <w:pPr>
        <w:tabs>
          <w:tab w:val="left" w:pos="19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28"/>
          <w:szCs w:val="28"/>
          <w:lang w:eastAsia="zh-CN"/>
        </w:rPr>
        <w:t xml:space="preserve">                                                  </w:t>
      </w:r>
    </w:p>
    <w:p w:rsidR="009E1D82" w:rsidRPr="009E1D82" w:rsidRDefault="009E1D82" w:rsidP="009E1D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24"/>
          <w:szCs w:val="24"/>
          <w:lang w:eastAsia="zh-CN"/>
        </w:rPr>
        <w:t xml:space="preserve">                </w:t>
      </w:r>
    </w:p>
    <w:p w:rsid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8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8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32"/>
          <w:szCs w:val="32"/>
          <w:lang w:eastAsia="zh-CN"/>
        </w:rPr>
        <w:t>Előterjesztő: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9E1D82">
        <w:rPr>
          <w:rFonts w:ascii="Arial" w:eastAsia="Times New Roman" w:hAnsi="Arial" w:cs="Times New Roman"/>
          <w:sz w:val="28"/>
          <w:szCs w:val="28"/>
          <w:lang w:eastAsia="zh-CN"/>
        </w:rPr>
        <w:t>Druskoczi</w:t>
      </w:r>
      <w:proofErr w:type="spellEnd"/>
      <w:r w:rsidRPr="009E1D82">
        <w:rPr>
          <w:rFonts w:ascii="Arial" w:eastAsia="Times New Roman" w:hAnsi="Arial" w:cs="Times New Roman"/>
          <w:sz w:val="28"/>
          <w:szCs w:val="28"/>
          <w:lang w:eastAsia="zh-CN"/>
        </w:rPr>
        <w:t xml:space="preserve"> Tünde polgármester</w:t>
      </w:r>
    </w:p>
    <w:p w:rsidR="009E1D82" w:rsidRPr="009E1D82" w:rsidRDefault="009E1D82" w:rsidP="009E1D8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zh-CN"/>
        </w:rPr>
      </w:pPr>
    </w:p>
    <w:p w:rsidR="005A0787" w:rsidRDefault="005A0787" w:rsidP="005A07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9E1D82" w:rsidRDefault="009E1D82" w:rsidP="005A07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CA3CAC" w:rsidRDefault="00CA3CAC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lastRenderedPageBreak/>
        <w:t xml:space="preserve">Balatonberény </w:t>
      </w:r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Község</w:t>
      </w:r>
      <w:r w:rsidR="005A078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Önkormányzat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Ajánlatkérőként, Vörs Község Önkormányzatával kötött megállapodás alapján </w:t>
      </w:r>
      <w:r w:rsidRPr="00CA3CAC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"Orvosi rendelők felújítása Balatonberényben és Vörsön"</w:t>
      </w:r>
      <w:r w:rsidR="005A078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  <w:r w:rsidR="005A0787">
        <w:rPr>
          <w:rFonts w:ascii="Arial" w:hAnsi="Arial" w:cs="Arial"/>
          <w:color w:val="222222"/>
          <w:shd w:val="clear" w:color="auto" w:fill="FFFFFF"/>
        </w:rPr>
        <w:t>című p</w:t>
      </w:r>
      <w:r w:rsidR="00CF0A3E">
        <w:rPr>
          <w:rFonts w:ascii="Arial" w:hAnsi="Arial" w:cs="Arial"/>
          <w:color w:val="222222"/>
          <w:shd w:val="clear" w:color="auto" w:fill="FFFFFF"/>
        </w:rPr>
        <w:t>rojekt</w:t>
      </w:r>
      <w:r w:rsidR="005A0787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A0787" w:rsidRPr="0055632D">
        <w:rPr>
          <w:rFonts w:ascii="Arial" w:hAnsi="Arial" w:cs="Arial"/>
          <w:b/>
          <w:i/>
          <w:color w:val="222222"/>
          <w:shd w:val="clear" w:color="auto" w:fill="FFFFFF"/>
        </w:rPr>
        <w:t>(</w:t>
      </w:r>
      <w:r w:rsidRPr="00CA3CAC">
        <w:rPr>
          <w:rFonts w:ascii="Arial" w:hAnsi="Arial" w:cs="Arial"/>
          <w:b/>
          <w:i/>
          <w:color w:val="222222"/>
          <w:shd w:val="clear" w:color="auto" w:fill="FFFFFF"/>
        </w:rPr>
        <w:t>TOP_PLUSZ-3.3.2-21-SO1-2022-00009</w:t>
      </w:r>
      <w:r>
        <w:rPr>
          <w:rFonts w:ascii="Arial" w:hAnsi="Arial" w:cs="Arial"/>
          <w:b/>
          <w:i/>
          <w:color w:val="222222"/>
          <w:shd w:val="clear" w:color="auto" w:fill="FFFFFF"/>
        </w:rPr>
        <w:t xml:space="preserve"> sz. projektazonosító</w:t>
      </w:r>
      <w:r w:rsidR="00A46167" w:rsidRPr="00CA3CAC">
        <w:rPr>
          <w:rFonts w:ascii="Arial" w:hAnsi="Arial" w:cs="Arial"/>
          <w:b/>
          <w:i/>
          <w:color w:val="222222"/>
          <w:shd w:val="clear" w:color="auto" w:fill="FFFFFF"/>
        </w:rPr>
        <w:t>)</w:t>
      </w:r>
      <w:r w:rsidR="005A0787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tárgyában</w:t>
      </w:r>
      <w:r w:rsidR="00CF0A3E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2024. évben közbeszerzési eljárást bonyolított le </w:t>
      </w:r>
      <w:r w:rsidRPr="00CA3CAC">
        <w:rPr>
          <w:rFonts w:ascii="Arial" w:hAnsi="Arial" w:cs="Arial"/>
          <w:color w:val="222222"/>
          <w:shd w:val="clear" w:color="auto" w:fill="FFFFFF"/>
        </w:rPr>
        <w:t>EKR002025012024</w:t>
      </w:r>
      <w:r>
        <w:rPr>
          <w:rFonts w:ascii="Arial" w:hAnsi="Arial" w:cs="Arial"/>
          <w:color w:val="222222"/>
          <w:shd w:val="clear" w:color="auto" w:fill="FFFFFF"/>
        </w:rPr>
        <w:t xml:space="preserve"> EKR azonosító szám alatt, mely közbeszerzési eljárás eredménytelen lett. </w:t>
      </w:r>
    </w:p>
    <w:p w:rsidR="00CA3CAC" w:rsidRDefault="00CA3CAC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CA3CAC" w:rsidRPr="00CA3CAC" w:rsidRDefault="00CA3CAC" w:rsidP="00CA3CAC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Balatonberény Község Önkormányzata a közbeszerzési eljárást ismételten megindítja. Az időközben hatályba lépett </w:t>
      </w:r>
      <w:r w:rsidRPr="00CA3CAC">
        <w:rPr>
          <w:rFonts w:ascii="Arial" w:hAnsi="Arial" w:cs="Arial"/>
          <w:color w:val="222222"/>
          <w:shd w:val="clear" w:color="auto" w:fill="FFFFFF"/>
        </w:rPr>
        <w:t>2024. évi LXXIV. törvény</w:t>
      </w:r>
      <w:r w:rsidR="0057242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7242A" w:rsidRPr="0057242A">
        <w:rPr>
          <w:rFonts w:ascii="Arial" w:hAnsi="Arial" w:cs="Arial"/>
          <w:color w:val="222222"/>
          <w:shd w:val="clear" w:color="auto" w:fill="FFFFFF"/>
        </w:rPr>
        <w:t>68.</w:t>
      </w:r>
      <w:r w:rsidR="0057242A">
        <w:rPr>
          <w:rFonts w:ascii="Arial" w:hAnsi="Arial" w:cs="Arial"/>
          <w:color w:val="222222"/>
          <w:shd w:val="clear" w:color="auto" w:fill="FFFFFF"/>
        </w:rPr>
        <w:t xml:space="preserve"> „</w:t>
      </w:r>
      <w:r w:rsidR="0057242A" w:rsidRPr="0057242A">
        <w:rPr>
          <w:rFonts w:ascii="Arial" w:hAnsi="Arial" w:cs="Arial"/>
          <w:color w:val="222222"/>
          <w:shd w:val="clear" w:color="auto" w:fill="FFFFFF"/>
        </w:rPr>
        <w:t>Az állami beruházásokkal kapcsolatos szerződéskötések eljárási rendjének eltérő szabályairól</w:t>
      </w:r>
      <w:r w:rsidR="0057242A">
        <w:rPr>
          <w:rFonts w:ascii="Arial" w:hAnsi="Arial" w:cs="Arial"/>
          <w:color w:val="222222"/>
          <w:shd w:val="clear" w:color="auto" w:fill="FFFFFF"/>
        </w:rPr>
        <w:t xml:space="preserve">” szóló fejezetében </w:t>
      </w:r>
      <w:r>
        <w:rPr>
          <w:rFonts w:ascii="Arial" w:hAnsi="Arial" w:cs="Arial"/>
          <w:color w:val="222222"/>
          <w:shd w:val="clear" w:color="auto" w:fill="FFFFFF"/>
        </w:rPr>
        <w:t xml:space="preserve">foglalt rendelkezéseknek eleget téve Balatonberény Község Önkormányzata </w:t>
      </w:r>
      <w:r w:rsidR="00EE5F21">
        <w:rPr>
          <w:rFonts w:ascii="Arial" w:hAnsi="Arial" w:cs="Arial"/>
          <w:color w:val="222222"/>
          <w:shd w:val="clear" w:color="auto" w:fill="FFFFFF"/>
        </w:rPr>
        <w:t xml:space="preserve">az illetékes miniszter részére a közbeszerzési eljárás dokumentációját költségellenőrzésre, véleményezésre 2025. január 24. napján megküldte. </w:t>
      </w:r>
      <w:r w:rsidR="009A70FE">
        <w:rPr>
          <w:rFonts w:ascii="Arial" w:hAnsi="Arial" w:cs="Arial"/>
          <w:color w:val="222222"/>
          <w:shd w:val="clear" w:color="auto" w:fill="FFFFFF"/>
        </w:rPr>
        <w:t xml:space="preserve">Vélemény a megküldött dokumentáció tárgyában a mai napig nem érkezett. </w:t>
      </w:r>
    </w:p>
    <w:p w:rsidR="00CA3CAC" w:rsidRDefault="00CA3CAC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5A0787" w:rsidRDefault="00EE5F21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Balatonberény Község Önkormányzatának képviselő-testülete a fent rögzített tényekre figyelemmel </w:t>
      </w:r>
      <w:r w:rsidR="00E76E7D">
        <w:rPr>
          <w:rFonts w:ascii="Arial" w:hAnsi="Arial" w:cs="Arial"/>
          <w:color w:val="222222"/>
          <w:shd w:val="clear" w:color="auto" w:fill="FFFFFF"/>
        </w:rPr>
        <w:t>az alábbi határozatot hozza meg:</w:t>
      </w:r>
    </w:p>
    <w:p w:rsidR="009E1D82" w:rsidRDefault="009E1D82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9E1D82" w:rsidRPr="009E1D82" w:rsidRDefault="009E1D82" w:rsidP="009E1D82">
      <w:pPr>
        <w:spacing w:after="0" w:line="240" w:lineRule="auto"/>
        <w:jc w:val="both"/>
        <w:rPr>
          <w:rFonts w:ascii="Arial" w:hAnsi="Arial" w:cs="Arial"/>
          <w:color w:val="222222"/>
          <w:u w:val="single"/>
          <w:shd w:val="clear" w:color="auto" w:fill="FFFFFF"/>
        </w:rPr>
      </w:pPr>
      <w:r w:rsidRPr="009E1D82">
        <w:rPr>
          <w:rFonts w:ascii="Arial" w:hAnsi="Arial" w:cs="Arial"/>
          <w:color w:val="222222"/>
          <w:u w:val="single"/>
          <w:shd w:val="clear" w:color="auto" w:fill="FFFFFF"/>
        </w:rPr>
        <w:t>Döntési javaslat:</w:t>
      </w:r>
    </w:p>
    <w:p w:rsidR="009E1D82" w:rsidRPr="009E1D82" w:rsidRDefault="009E1D82" w:rsidP="009E1D82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E76E7D" w:rsidRPr="009E1D82" w:rsidRDefault="009E1D82" w:rsidP="009E1D82">
      <w:pPr>
        <w:spacing w:after="0" w:line="240" w:lineRule="auto"/>
        <w:jc w:val="center"/>
        <w:rPr>
          <w:rFonts w:ascii="Arial" w:hAnsi="Arial" w:cs="Arial"/>
          <w:b/>
          <w:color w:val="222222"/>
          <w:u w:val="single"/>
          <w:shd w:val="clear" w:color="auto" w:fill="FFFFFF"/>
        </w:rPr>
      </w:pPr>
      <w:r w:rsidRPr="009E1D82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Balatonberény Község Önkormányzat </w:t>
      </w:r>
      <w:proofErr w:type="gramStart"/>
      <w:r w:rsidRPr="009E1D82">
        <w:rPr>
          <w:rFonts w:ascii="Arial" w:hAnsi="Arial" w:cs="Arial"/>
          <w:b/>
          <w:color w:val="222222"/>
          <w:u w:val="single"/>
          <w:shd w:val="clear" w:color="auto" w:fill="FFFFFF"/>
        </w:rPr>
        <w:t>Képviselő-testületének ….</w:t>
      </w:r>
      <w:proofErr w:type="gramEnd"/>
      <w:r w:rsidRPr="009E1D82">
        <w:rPr>
          <w:rFonts w:ascii="Arial" w:hAnsi="Arial" w:cs="Arial"/>
          <w:b/>
          <w:color w:val="222222"/>
          <w:u w:val="single"/>
          <w:shd w:val="clear" w:color="auto" w:fill="FFFFFF"/>
        </w:rPr>
        <w:t>/2025.(III.18) határozata a TOP_PLUSZ-3.3.2-21 pályázati támogatással megvalósuló „Orvosi rendelők felújítása Balatonberényben és Vörsön” című beruházásban döntés a kivitelező kiválasztására irányuló, ismételt közbeszerzési eljárás indításáról</w:t>
      </w:r>
    </w:p>
    <w:p w:rsidR="00E76E7D" w:rsidRDefault="00E76E7D" w:rsidP="005A078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CF0A3E" w:rsidRPr="005D6315" w:rsidRDefault="005D6315" w:rsidP="005D631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1.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  <w:r w:rsid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Balatonberény</w:t>
      </w:r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Község</w:t>
      </w:r>
      <w:r w:rsidR="00CF0A3E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Önkormányzata</w:t>
      </w:r>
      <w:r w:rsidR="00D22EEA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  <w:r w:rsid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megismételt </w:t>
      </w:r>
      <w:r w:rsidR="00D22EEA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közbeszerzési eljárást bonyolít, mely</w:t>
      </w:r>
      <w:r w:rsidR="00E966AD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eljárást</w:t>
      </w:r>
      <w:r w:rsidR="00CF0A3E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  <w:r w:rsidR="00CF0A3E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a</w:t>
      </w:r>
      <w:r w:rsidR="00E966AD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Kbt. III. rész (nemzeti értékhatárt elérő), </w:t>
      </w:r>
      <w:r w:rsidR="00640147" w:rsidRPr="0055632D"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hu-HU"/>
        </w:rPr>
        <w:t>112. § (1) bekezdés b) pontja</w:t>
      </w:r>
      <w:r w:rsidR="00640147" w:rsidRPr="008F12FE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 szerinti hirdetménnyel induló nyílt </w:t>
      </w:r>
      <w:r w:rsidR="00CF0A3E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közbeszerzési eljárás</w:t>
      </w:r>
      <w:r w:rsidR="00E966AD" w:rsidRPr="005D6315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szabályai szerint kívánja lefolytatni. </w:t>
      </w:r>
    </w:p>
    <w:p w:rsidR="00CF0A3E" w:rsidRPr="00E966AD" w:rsidRDefault="00CF0A3E" w:rsidP="00376A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E76E7D" w:rsidRPr="00EE5F21" w:rsidRDefault="00CF0A3E" w:rsidP="00376A24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</w:pPr>
      <w:r w:rsidRPr="00E966AD">
        <w:rPr>
          <w:rFonts w:ascii="Arial" w:eastAsia="Times New Roman" w:hAnsi="Arial" w:cs="Arial"/>
          <w:sz w:val="24"/>
          <w:szCs w:val="24"/>
          <w:lang w:eastAsia="hu-HU"/>
        </w:rPr>
        <w:t xml:space="preserve">2. </w:t>
      </w:r>
      <w:r w:rsidR="00D22EEA" w:rsidRPr="006A677E">
        <w:rPr>
          <w:rFonts w:ascii="Arial" w:eastAsia="Times New Roman" w:hAnsi="Arial" w:cs="Arial"/>
          <w:sz w:val="24"/>
          <w:szCs w:val="24"/>
          <w:u w:val="single"/>
          <w:lang w:eastAsia="hu-HU"/>
        </w:rPr>
        <w:t>Az eljárás becsült értéke összesen:</w:t>
      </w:r>
      <w:r w:rsidR="006A677E" w:rsidRPr="006A677E">
        <w:rPr>
          <w:rFonts w:ascii="Arial" w:eastAsia="Times New Roman" w:hAnsi="Arial" w:cs="Arial"/>
          <w:sz w:val="24"/>
          <w:szCs w:val="24"/>
          <w:u w:val="single"/>
          <w:lang w:eastAsia="hu-HU"/>
        </w:rPr>
        <w:t xml:space="preserve"> </w:t>
      </w:r>
      <w:r w:rsidR="00D22EEA" w:rsidRPr="00D22EEA">
        <w:rPr>
          <w:rFonts w:ascii="Arial" w:eastAsia="Times New Roman" w:hAnsi="Arial" w:cs="Arial"/>
          <w:sz w:val="24"/>
          <w:szCs w:val="24"/>
          <w:lang w:eastAsia="hu-HU"/>
        </w:rPr>
        <w:t xml:space="preserve">nettó </w:t>
      </w:r>
      <w:r w:rsidR="00EE5F21" w:rsidRPr="00EE5F21">
        <w:rPr>
          <w:rFonts w:ascii="Arial" w:eastAsia="Times New Roman" w:hAnsi="Arial" w:cs="Arial"/>
          <w:b/>
          <w:i/>
          <w:sz w:val="24"/>
          <w:szCs w:val="24"/>
          <w:lang w:eastAsia="hu-HU"/>
        </w:rPr>
        <w:t>156.132.343.</w:t>
      </w:r>
      <w:r w:rsidR="00D22EEA" w:rsidRPr="00EE5F21">
        <w:rPr>
          <w:rFonts w:ascii="Arial" w:eastAsia="Times New Roman" w:hAnsi="Arial" w:cs="Arial"/>
          <w:b/>
          <w:i/>
          <w:sz w:val="24"/>
          <w:szCs w:val="24"/>
          <w:lang w:eastAsia="hu-HU"/>
        </w:rPr>
        <w:t>-Ft</w:t>
      </w:r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, melyből a </w:t>
      </w:r>
      <w:proofErr w:type="spellStart"/>
      <w:r w:rsidR="009A70FE">
        <w:rPr>
          <w:rFonts w:ascii="Arial" w:eastAsia="Times New Roman" w:hAnsi="Arial" w:cs="Arial"/>
          <w:sz w:val="24"/>
          <w:szCs w:val="24"/>
          <w:lang w:eastAsia="hu-HU"/>
        </w:rPr>
        <w:t>balatonberényi</w:t>
      </w:r>
      <w:proofErr w:type="spellEnd"/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 orvosi rendelő felújításának tervezői költségbecslése: nettó </w:t>
      </w:r>
      <w:r w:rsidR="009A70FE" w:rsidRPr="009A70FE">
        <w:rPr>
          <w:rFonts w:ascii="Arial" w:eastAsia="Times New Roman" w:hAnsi="Arial" w:cs="Arial"/>
          <w:b/>
          <w:i/>
          <w:sz w:val="24"/>
          <w:szCs w:val="24"/>
          <w:lang w:eastAsia="hu-HU"/>
        </w:rPr>
        <w:t>101.771.849.-Ft</w:t>
      </w:r>
      <w:proofErr w:type="gramStart"/>
      <w:r w:rsidR="009A70FE" w:rsidRPr="009A70FE">
        <w:rPr>
          <w:rFonts w:ascii="Arial" w:eastAsia="Times New Roman" w:hAnsi="Arial" w:cs="Arial"/>
          <w:sz w:val="24"/>
          <w:szCs w:val="24"/>
          <w:lang w:eastAsia="hu-HU"/>
        </w:rPr>
        <w:t>.,</w:t>
      </w:r>
      <w:proofErr w:type="gramEnd"/>
      <w:r w:rsidR="009A70FE" w:rsidRPr="009A70F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proofErr w:type="spellStart"/>
      <w:r w:rsidR="009A70FE">
        <w:rPr>
          <w:rFonts w:ascii="Arial" w:eastAsia="Times New Roman" w:hAnsi="Arial" w:cs="Arial"/>
          <w:sz w:val="24"/>
          <w:szCs w:val="24"/>
          <w:lang w:eastAsia="hu-HU"/>
        </w:rPr>
        <w:t>vörsi</w:t>
      </w:r>
      <w:proofErr w:type="spellEnd"/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A70FE" w:rsidRPr="009A70FE">
        <w:rPr>
          <w:rFonts w:ascii="Arial" w:eastAsia="Times New Roman" w:hAnsi="Arial" w:cs="Arial"/>
          <w:sz w:val="24"/>
          <w:szCs w:val="24"/>
          <w:lang w:eastAsia="hu-HU"/>
        </w:rPr>
        <w:t xml:space="preserve">orvosi rendelő felújításának tervezői költségbecslése: </w:t>
      </w:r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nettó </w:t>
      </w:r>
      <w:r w:rsidR="009A70FE" w:rsidRPr="009A70FE">
        <w:rPr>
          <w:rFonts w:ascii="Arial" w:eastAsia="Times New Roman" w:hAnsi="Arial" w:cs="Arial"/>
          <w:b/>
          <w:i/>
          <w:sz w:val="24"/>
          <w:szCs w:val="24"/>
          <w:lang w:eastAsia="hu-HU"/>
        </w:rPr>
        <w:t>54.360.494.-Ft</w:t>
      </w:r>
      <w:r w:rsidR="009A70FE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5A0787" w:rsidRPr="00EE5F21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</w:t>
      </w:r>
    </w:p>
    <w:p w:rsidR="006A677E" w:rsidRDefault="006A677E" w:rsidP="00376A2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A25CB9" w:rsidRDefault="00A25CB9" w:rsidP="00D22E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 közbeszerzési eljárás</w:t>
      </w:r>
      <w:r w:rsidR="009A70FE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a Kbt. 19. § (3) bekezdése értelmében </w:t>
      </w:r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nem </w:t>
      </w:r>
      <w:r w:rsidR="009A70FE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kell szükséges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egybeszámít</w:t>
      </w:r>
      <w:r w:rsidR="009A70FE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ani</w:t>
      </w:r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 </w:t>
      </w:r>
    </w:p>
    <w:p w:rsidR="00A25CB9" w:rsidRDefault="00A25CB9" w:rsidP="00D22E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E76E7D" w:rsidRPr="0055632D" w:rsidRDefault="005A0787" w:rsidP="00376A24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</w:pPr>
      <w:r w:rsidRPr="00376A2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közbeszerzés tárgya </w:t>
      </w:r>
      <w:r w:rsidR="00A25CB9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építési beruházás</w:t>
      </w:r>
      <w:r w:rsidRPr="00376A2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, elnevezése: </w:t>
      </w:r>
      <w:r w:rsidR="00D22EE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„</w:t>
      </w:r>
      <w:r w:rsidR="00EE5F21" w:rsidRPr="00EE5F21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Orvosi rendelők felújítása Balatonberényben és Vörsön</w:t>
      </w:r>
      <w:r w:rsidR="00D22EEA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”</w:t>
      </w:r>
      <w:r w:rsidR="00E966AD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.</w:t>
      </w:r>
      <w:r w:rsidR="00AF3F31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</w:t>
      </w:r>
    </w:p>
    <w:p w:rsidR="009A70FE" w:rsidRDefault="009A70FE" w:rsidP="00376A2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3A6AF9" w:rsidRDefault="00AF3F31" w:rsidP="00376A2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376A2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</w:t>
      </w:r>
      <w:r w:rsidR="00D22EE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közbeszerzés </w:t>
      </w:r>
      <w:r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forrása</w:t>
      </w:r>
      <w:r w:rsidRPr="00376A2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a fent megjelölt </w:t>
      </w:r>
      <w:r w:rsidR="00D22EE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azonosítószámú projekt kapcsán </w:t>
      </w:r>
      <w:r w:rsidR="00D22EEA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elnyert </w:t>
      </w:r>
      <w:r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támogatás</w:t>
      </w:r>
      <w:r w:rsidR="0064014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, azaz</w:t>
      </w:r>
      <w:r w:rsidR="00E966AD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</w:t>
      </w:r>
      <w:r w:rsidR="0064014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bruttó</w:t>
      </w:r>
      <w:r w:rsidR="00E3250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</w:t>
      </w:r>
      <w:r w:rsidR="0064014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99.958.865</w:t>
      </w:r>
      <w:r w:rsidR="00E3250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.-Ft</w:t>
      </w:r>
      <w:r w:rsidR="003A6AF9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</w:t>
      </w:r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A támogatás </w:t>
      </w:r>
      <w:proofErr w:type="gramStart"/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intenzitása</w:t>
      </w:r>
      <w:proofErr w:type="gramEnd"/>
      <w:r w:rsidR="0064014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: 100,00 %</w:t>
      </w:r>
    </w:p>
    <w:p w:rsidR="00E966AD" w:rsidRDefault="003A6AF9" w:rsidP="00376A2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</w:p>
    <w:p w:rsidR="00E76E7D" w:rsidRDefault="00E76E7D" w:rsidP="002E446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3</w:t>
      </w:r>
      <w:r w:rsidR="005A0787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 </w:t>
      </w:r>
      <w:r w:rsidR="005A078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A bíráló bizottság tagjai</w:t>
      </w:r>
      <w:r w:rsidR="00EE5F21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változatlanul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: </w:t>
      </w:r>
    </w:p>
    <w:p w:rsidR="00EE5F21" w:rsidRDefault="00EE5F21" w:rsidP="00EE5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bíráló bizottság tagjai: </w:t>
      </w:r>
    </w:p>
    <w:p w:rsidR="00EE5F21" w:rsidRPr="00EE5F21" w:rsidRDefault="00EE5F21" w:rsidP="00EE5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proofErr w:type="gramStart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pénzügyi</w:t>
      </w:r>
      <w:proofErr w:type="gramEnd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, gazdasági: Németh Gyöngyi, </w:t>
      </w:r>
    </w:p>
    <w:p w:rsidR="00EE5F21" w:rsidRPr="00EE5F21" w:rsidRDefault="00EE5F21" w:rsidP="00EE5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proofErr w:type="gramStart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közbeszerzés</w:t>
      </w:r>
      <w:proofErr w:type="gramEnd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tárgya szerinti, műszaki: </w:t>
      </w:r>
      <w:proofErr w:type="spellStart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Schäfer</w:t>
      </w:r>
      <w:proofErr w:type="spellEnd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Zoltán,</w:t>
      </w:r>
    </w:p>
    <w:p w:rsidR="00EE5F21" w:rsidRPr="00EE5F21" w:rsidRDefault="00EE5F21" w:rsidP="00EE5F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jogi, közbeszerzési: dr. </w:t>
      </w:r>
      <w:proofErr w:type="spellStart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Gelencsér</w:t>
      </w:r>
      <w:proofErr w:type="spellEnd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- Gönczöl Adrienn lesznek + Vörs Köszég Önkormányzata által </w:t>
      </w:r>
      <w:proofErr w:type="gramStart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delegált</w:t>
      </w:r>
      <w:proofErr w:type="gramEnd"/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tagok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: Deák Tamás és Tavaszi István.</w:t>
      </w:r>
      <w:r w:rsidRPr="00EE5F21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</w:t>
      </w:r>
    </w:p>
    <w:p w:rsidR="00F03006" w:rsidRDefault="00F03006" w:rsidP="005A078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:rsidR="007A0034" w:rsidRDefault="00E76E7D" w:rsidP="00E817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4</w:t>
      </w:r>
      <w:r w:rsidR="007A003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 Érvényes megbízási szerződés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szerint </w:t>
      </w:r>
      <w:r w:rsidR="007A003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közbeszerzési eljárás </w:t>
      </w:r>
      <w:proofErr w:type="gramStart"/>
      <w:r w:rsidR="007A003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dokumentumait</w:t>
      </w:r>
      <w:proofErr w:type="gramEnd"/>
      <w:r w:rsidR="007A003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dr. </w:t>
      </w:r>
      <w:proofErr w:type="spellStart"/>
      <w:r w:rsidR="007A0034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Gelencsér</w:t>
      </w:r>
      <w:proofErr w:type="spellEnd"/>
      <w:r w:rsidR="007A0034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 xml:space="preserve"> – Gönczöl Adrienn közbeszerzési tanácsadó</w:t>
      </w:r>
      <w:r w:rsidR="007A0034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készíti el</w:t>
      </w:r>
      <w:r w:rsidR="0055632D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, és a </w:t>
      </w:r>
      <w:r w:rsidR="0055632D">
        <w:rPr>
          <w:rFonts w:ascii="Arial" w:eastAsia="Times New Roman" w:hAnsi="Arial" w:cs="Arial"/>
          <w:color w:val="222222"/>
          <w:sz w:val="24"/>
          <w:szCs w:val="24"/>
          <w:lang w:eastAsia="hu-HU"/>
        </w:rPr>
        <w:lastRenderedPageBreak/>
        <w:t xml:space="preserve">közbeszerzési eljárást </w:t>
      </w:r>
      <w:r w:rsidR="007A0034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bo</w:t>
      </w:r>
      <w:r w:rsidR="00E32507" w:rsidRPr="0055632D">
        <w:rPr>
          <w:rFonts w:ascii="Arial" w:eastAsia="Times New Roman" w:hAnsi="Arial" w:cs="Arial"/>
          <w:b/>
          <w:i/>
          <w:color w:val="222222"/>
          <w:sz w:val="24"/>
          <w:szCs w:val="24"/>
          <w:lang w:eastAsia="hu-HU"/>
        </w:rPr>
        <w:t>nyolítja</w:t>
      </w:r>
      <w:r w:rsidR="00E817B5" w:rsidRPr="008F12FE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, melybe </w:t>
      </w:r>
      <w:r w:rsidR="00E817B5" w:rsidRPr="0055632D"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hu-HU"/>
        </w:rPr>
        <w:t>dr. Balogh Barbara Felelős Akkreditált Közbeszerzési Szaktanácsadó</w:t>
      </w:r>
      <w:r w:rsidR="00E817B5" w:rsidRPr="008F12FE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 (lajstromszáma: 000827) </w:t>
      </w:r>
      <w:r w:rsidR="00E817B5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kerül be</w:t>
      </w:r>
      <w:r w:rsidR="00E817B5" w:rsidRPr="008F12FE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von</w:t>
      </w:r>
      <w:r w:rsidR="00E817B5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ásra. </w:t>
      </w:r>
    </w:p>
    <w:p w:rsidR="00A01F70" w:rsidRDefault="00A01F70" w:rsidP="00BC1B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bookmarkStart w:id="0" w:name="_GoBack"/>
      <w:bookmarkEnd w:id="0"/>
    </w:p>
    <w:p w:rsidR="00E817B5" w:rsidRDefault="00E817B5" w:rsidP="00E817B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  <w:r w:rsidRPr="008F12FE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5. A képviselőtestület felhatalmazza a polgármestert arra, hogy a jelen határozat végrehajtásához a szükséges intézkedéseket megtegye. </w:t>
      </w:r>
    </w:p>
    <w:p w:rsidR="009E1D82" w:rsidRDefault="009E1D82" w:rsidP="00E817B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9E1D82" w:rsidRPr="009E1D82" w:rsidRDefault="009E1D82" w:rsidP="009E1D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9E1D8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Határidő: azonnal</w:t>
      </w:r>
    </w:p>
    <w:p w:rsidR="009E1D82" w:rsidRPr="009E1D82" w:rsidRDefault="009E1D82" w:rsidP="009E1D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9E1D8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Felelős: </w:t>
      </w:r>
      <w:proofErr w:type="spellStart"/>
      <w:r w:rsidRPr="009E1D8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Druskoczi</w:t>
      </w:r>
      <w:proofErr w:type="spellEnd"/>
      <w:r w:rsidRPr="009E1D8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Tünde polgármester</w:t>
      </w:r>
    </w:p>
    <w:p w:rsidR="009E1D82" w:rsidRPr="009E1D82" w:rsidRDefault="009E1D82" w:rsidP="009E1D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9E1D82" w:rsidRPr="009E1D82" w:rsidRDefault="009E1D82" w:rsidP="009E1D8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9E1D82" w:rsidRPr="009E1D82" w:rsidRDefault="009E1D82" w:rsidP="009E1D8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Balatonberény, 2025. március 17</w:t>
      </w:r>
      <w:r w:rsidRPr="009E1D82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</w:p>
    <w:p w:rsidR="009E1D82" w:rsidRPr="009E1D82" w:rsidRDefault="009E1D82" w:rsidP="009E1D82">
      <w:pPr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E1D82" w:rsidRPr="009E1D82" w:rsidRDefault="009E1D82" w:rsidP="009E1D82">
      <w:pPr>
        <w:suppressAutoHyphens/>
        <w:spacing w:after="0" w:line="240" w:lineRule="auto"/>
        <w:ind w:left="6372" w:right="-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spellStart"/>
      <w:r w:rsidRPr="009E1D82">
        <w:rPr>
          <w:rFonts w:ascii="Arial" w:eastAsia="Times New Roman" w:hAnsi="Arial" w:cs="Arial"/>
          <w:sz w:val="24"/>
          <w:szCs w:val="24"/>
          <w:lang w:eastAsia="zh-CN"/>
        </w:rPr>
        <w:t>Druskoczi</w:t>
      </w:r>
      <w:proofErr w:type="spellEnd"/>
      <w:r w:rsidRPr="009E1D82">
        <w:rPr>
          <w:rFonts w:ascii="Arial" w:eastAsia="Times New Roman" w:hAnsi="Arial" w:cs="Arial"/>
          <w:sz w:val="24"/>
          <w:szCs w:val="24"/>
          <w:lang w:eastAsia="zh-CN"/>
        </w:rPr>
        <w:t xml:space="preserve"> Tünde </w:t>
      </w:r>
      <w:proofErr w:type="spellStart"/>
      <w:r w:rsidRPr="009E1D82">
        <w:rPr>
          <w:rFonts w:ascii="Arial" w:eastAsia="Times New Roman" w:hAnsi="Arial" w:cs="Arial"/>
          <w:sz w:val="24"/>
          <w:szCs w:val="24"/>
          <w:lang w:eastAsia="zh-CN"/>
        </w:rPr>
        <w:t>sk</w:t>
      </w:r>
      <w:proofErr w:type="spellEnd"/>
      <w:r w:rsidRPr="009E1D82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</w:p>
    <w:p w:rsidR="009E1D82" w:rsidRPr="009E1D82" w:rsidRDefault="009E1D82" w:rsidP="009E1D82">
      <w:pPr>
        <w:suppressAutoHyphens/>
        <w:spacing w:after="0" w:line="240" w:lineRule="auto"/>
        <w:ind w:left="6372" w:right="-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1D82">
        <w:rPr>
          <w:rFonts w:ascii="Arial" w:eastAsia="Times New Roman" w:hAnsi="Arial" w:cs="Times New Roman"/>
          <w:sz w:val="24"/>
          <w:szCs w:val="24"/>
          <w:lang w:eastAsia="zh-CN"/>
        </w:rPr>
        <w:t xml:space="preserve">    </w:t>
      </w:r>
      <w:proofErr w:type="gramStart"/>
      <w:r w:rsidRPr="009E1D82">
        <w:rPr>
          <w:rFonts w:ascii="Arial" w:eastAsia="Times New Roman" w:hAnsi="Arial" w:cs="Times New Roman"/>
          <w:sz w:val="24"/>
          <w:szCs w:val="24"/>
          <w:lang w:eastAsia="zh-CN"/>
        </w:rPr>
        <w:t>polgármester</w:t>
      </w:r>
      <w:proofErr w:type="gramEnd"/>
      <w:r w:rsidRPr="009E1D82">
        <w:rPr>
          <w:rFonts w:ascii="Arial" w:eastAsia="Times New Roman" w:hAnsi="Arial" w:cs="Times New Roman"/>
          <w:sz w:val="24"/>
          <w:szCs w:val="24"/>
          <w:lang w:eastAsia="zh-CN"/>
        </w:rPr>
        <w:t xml:space="preserve"> </w:t>
      </w:r>
    </w:p>
    <w:p w:rsidR="009E1D82" w:rsidRPr="008F12FE" w:rsidRDefault="009E1D82" w:rsidP="00E817B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E817B5" w:rsidRPr="008F12FE" w:rsidRDefault="00E817B5" w:rsidP="00E817B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E817B5" w:rsidRPr="008F12FE" w:rsidRDefault="00E817B5" w:rsidP="00E817B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773CE6" w:rsidRDefault="009E1D82"/>
    <w:sectPr w:rsidR="00773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9FC"/>
    <w:multiLevelType w:val="hybridMultilevel"/>
    <w:tmpl w:val="B62AE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D1BDA"/>
    <w:multiLevelType w:val="hybridMultilevel"/>
    <w:tmpl w:val="B2C6D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302DF"/>
    <w:multiLevelType w:val="hybridMultilevel"/>
    <w:tmpl w:val="4B82531A"/>
    <w:lvl w:ilvl="0" w:tplc="C6F4FD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3086E"/>
    <w:multiLevelType w:val="hybridMultilevel"/>
    <w:tmpl w:val="873A2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82E78"/>
    <w:multiLevelType w:val="hybridMultilevel"/>
    <w:tmpl w:val="0C58D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87"/>
    <w:rsid w:val="00052A65"/>
    <w:rsid w:val="002E4460"/>
    <w:rsid w:val="00376A24"/>
    <w:rsid w:val="003A6AF9"/>
    <w:rsid w:val="0055632D"/>
    <w:rsid w:val="0057242A"/>
    <w:rsid w:val="005A0787"/>
    <w:rsid w:val="005D6315"/>
    <w:rsid w:val="00640147"/>
    <w:rsid w:val="006A1492"/>
    <w:rsid w:val="006A677E"/>
    <w:rsid w:val="007A0034"/>
    <w:rsid w:val="007F058C"/>
    <w:rsid w:val="00990F0F"/>
    <w:rsid w:val="009A70FE"/>
    <w:rsid w:val="009E1D82"/>
    <w:rsid w:val="00A01F70"/>
    <w:rsid w:val="00A25CB9"/>
    <w:rsid w:val="00A46167"/>
    <w:rsid w:val="00AF3F31"/>
    <w:rsid w:val="00BC1BC7"/>
    <w:rsid w:val="00CA3CAC"/>
    <w:rsid w:val="00CC7A3F"/>
    <w:rsid w:val="00CF0A3E"/>
    <w:rsid w:val="00D14D61"/>
    <w:rsid w:val="00D22EEA"/>
    <w:rsid w:val="00D74452"/>
    <w:rsid w:val="00E32507"/>
    <w:rsid w:val="00E76E7D"/>
    <w:rsid w:val="00E817B5"/>
    <w:rsid w:val="00E966AD"/>
    <w:rsid w:val="00EE5F21"/>
    <w:rsid w:val="00F03006"/>
    <w:rsid w:val="00F3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FE3E"/>
  <w15:chartTrackingRefBased/>
  <w15:docId w15:val="{6384C654-67FF-444D-AA6A-367765E1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0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463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15</cp:revision>
  <dcterms:created xsi:type="dcterms:W3CDTF">2023-08-15T12:49:00Z</dcterms:created>
  <dcterms:modified xsi:type="dcterms:W3CDTF">2025-03-17T09:47:00Z</dcterms:modified>
</cp:coreProperties>
</file>