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74" w:rsidRDefault="00924C74" w:rsidP="003430B2">
      <w:pPr>
        <w:pStyle w:val="Szvegtrzs"/>
        <w:spacing w:after="159" w:line="240" w:lineRule="auto"/>
        <w:ind w:left="159" w:right="159"/>
        <w:jc w:val="center"/>
        <w:rPr>
          <w:rFonts w:hint="eastAsia"/>
          <w:b/>
        </w:rPr>
      </w:pPr>
    </w:p>
    <w:p w:rsidR="00924C74" w:rsidRDefault="00924C74" w:rsidP="00924C74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924C74" w:rsidRDefault="00924C74" w:rsidP="00924C74">
      <w:pPr>
        <w:pStyle w:val="Cmsor1"/>
        <w:keepLines w:val="0"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 w:bidi="ar-SA"/>
        </w:rPr>
        <w:drawing>
          <wp:inline distT="0" distB="0" distL="0" distR="0" wp14:anchorId="0B44AAAE" wp14:editId="64549C17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d2Yh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924C74" w:rsidRDefault="00924C74" w:rsidP="00924C74">
      <w:pPr>
        <w:pStyle w:val="Cmsor2"/>
        <w:keepLines w:val="0"/>
        <w:widowControl/>
        <w:numPr>
          <w:ilvl w:val="1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924C74" w:rsidRDefault="00924C74" w:rsidP="00924C74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4712A2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2025</w:t>
      </w:r>
      <w:r w:rsidR="002B6598">
        <w:rPr>
          <w:rFonts w:ascii="Calibri" w:eastAsia="Calibri" w:hAnsi="Calibri" w:cs="Calibri"/>
          <w:sz w:val="32"/>
          <w:szCs w:val="24"/>
        </w:rPr>
        <w:t>. április 25</w:t>
      </w:r>
      <w:r w:rsidR="00924C74">
        <w:rPr>
          <w:rFonts w:ascii="Calibri" w:eastAsia="Calibri" w:hAnsi="Calibri" w:cs="Calibri"/>
          <w:sz w:val="32"/>
          <w:szCs w:val="24"/>
        </w:rPr>
        <w:t xml:space="preserve">-i </w:t>
      </w:r>
    </w:p>
    <w:p w:rsidR="00924C74" w:rsidRDefault="00924C74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4C1946" w:rsidRPr="004C1946" w:rsidRDefault="004C1946" w:rsidP="004C1946">
      <w:pPr>
        <w:tabs>
          <w:tab w:val="left" w:pos="0"/>
        </w:tabs>
        <w:ind w:left="360"/>
        <w:jc w:val="center"/>
        <w:rPr>
          <w:rFonts w:ascii="Calibri" w:eastAsia="Calibri" w:hAnsi="Calibri" w:cs="Calibri"/>
          <w:b/>
          <w:caps/>
          <w:sz w:val="32"/>
        </w:rPr>
      </w:pPr>
      <w:r w:rsidRPr="004C1946">
        <w:rPr>
          <w:rFonts w:ascii="Calibri" w:eastAsia="Calibri" w:hAnsi="Calibri" w:cs="Calibri"/>
          <w:b/>
          <w:caps/>
          <w:sz w:val="32"/>
        </w:rPr>
        <w:t xml:space="preserve">A községi </w:t>
      </w:r>
      <w:proofErr w:type="gramStart"/>
      <w:r w:rsidRPr="004C1946">
        <w:rPr>
          <w:rFonts w:ascii="Calibri" w:eastAsia="Calibri" w:hAnsi="Calibri" w:cs="Calibri"/>
          <w:b/>
          <w:caps/>
          <w:sz w:val="32"/>
        </w:rPr>
        <w:t>strand</w:t>
      </w:r>
      <w:proofErr w:type="gramEnd"/>
      <w:r w:rsidRPr="004C1946">
        <w:rPr>
          <w:rFonts w:ascii="Calibri" w:eastAsia="Calibri" w:hAnsi="Calibri" w:cs="Calibri"/>
          <w:b/>
          <w:caps/>
          <w:sz w:val="32"/>
        </w:rPr>
        <w:t xml:space="preserve"> működéséről szóló önkormány</w:t>
      </w:r>
      <w:r>
        <w:rPr>
          <w:rFonts w:ascii="Calibri" w:eastAsia="Calibri" w:hAnsi="Calibri" w:cs="Calibri"/>
          <w:b/>
          <w:caps/>
          <w:sz w:val="32"/>
        </w:rPr>
        <w:t>zati rendelet felülvizsgálata II.</w:t>
      </w:r>
      <w:r w:rsidRPr="004C1946">
        <w:rPr>
          <w:rFonts w:ascii="Calibri" w:eastAsia="Calibri" w:hAnsi="Calibri" w:cs="Calibri"/>
          <w:b/>
          <w:caps/>
          <w:sz w:val="32"/>
        </w:rPr>
        <w:t xml:space="preserve"> forduló</w:t>
      </w:r>
    </w:p>
    <w:p w:rsidR="00924C74" w:rsidRDefault="00924C74" w:rsidP="00924C74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2B6598" w:rsidRDefault="002B6598" w:rsidP="00924C74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F11B6C" w:rsidRDefault="002B6598" w:rsidP="002B6598">
      <w:pPr>
        <w:jc w:val="center"/>
        <w:rPr>
          <w:rFonts w:ascii="Calibri" w:eastAsia="Calibri" w:hAnsi="Calibri" w:cs="Calibri"/>
          <w:sz w:val="28"/>
          <w:szCs w:val="28"/>
        </w:rPr>
      </w:pPr>
      <w:proofErr w:type="spellStart"/>
      <w:r w:rsidRPr="002B6598">
        <w:rPr>
          <w:rFonts w:ascii="Calibri" w:eastAsia="Calibri" w:hAnsi="Calibri" w:cs="Calibri"/>
          <w:sz w:val="28"/>
          <w:szCs w:val="28"/>
        </w:rPr>
        <w:t>Druskoczi</w:t>
      </w:r>
      <w:proofErr w:type="spellEnd"/>
      <w:r w:rsidRPr="002B6598">
        <w:rPr>
          <w:rFonts w:ascii="Calibri" w:eastAsia="Calibri" w:hAnsi="Calibri" w:cs="Calibri"/>
          <w:sz w:val="28"/>
          <w:szCs w:val="28"/>
        </w:rPr>
        <w:t xml:space="preserve"> Tünde </w:t>
      </w:r>
    </w:p>
    <w:p w:rsidR="00924C74" w:rsidRPr="002B6598" w:rsidRDefault="002B6598" w:rsidP="002B6598">
      <w:pPr>
        <w:jc w:val="center"/>
        <w:rPr>
          <w:rFonts w:ascii="Calibri" w:eastAsia="Calibri" w:hAnsi="Calibri" w:cs="Calibri"/>
          <w:sz w:val="28"/>
          <w:szCs w:val="28"/>
        </w:rPr>
      </w:pPr>
      <w:proofErr w:type="gramStart"/>
      <w:r w:rsidRPr="002B6598">
        <w:rPr>
          <w:rFonts w:ascii="Calibri" w:eastAsia="Calibri" w:hAnsi="Calibri" w:cs="Calibri"/>
          <w:sz w:val="28"/>
          <w:szCs w:val="28"/>
        </w:rPr>
        <w:t>polgármester</w:t>
      </w:r>
      <w:proofErr w:type="gramEnd"/>
    </w:p>
    <w:p w:rsidR="00924C74" w:rsidRPr="002B6598" w:rsidRDefault="00924C74" w:rsidP="002B6598">
      <w:pPr>
        <w:jc w:val="center"/>
        <w:rPr>
          <w:rFonts w:ascii="Calibri" w:eastAsia="Calibri" w:hAnsi="Calibri" w:cs="Calibri"/>
          <w:sz w:val="28"/>
          <w:szCs w:val="28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1E1552" w:rsidRDefault="001E1552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F11B6C" w:rsidRDefault="00F11B6C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0"/>
          <w:szCs w:val="20"/>
        </w:rPr>
      </w:pPr>
    </w:p>
    <w:p w:rsidR="00924C74" w:rsidRPr="001E1552" w:rsidRDefault="00924C74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0"/>
          <w:szCs w:val="20"/>
        </w:rPr>
      </w:pPr>
      <w:r w:rsidRPr="001E1552">
        <w:rPr>
          <w:rFonts w:ascii="Century Gothic" w:eastAsia="Sylfaen" w:hAnsi="Century Gothic" w:cs="Sylfaen"/>
          <w:b/>
          <w:bCs/>
          <w:color w:val="000000"/>
          <w:sz w:val="20"/>
          <w:szCs w:val="20"/>
        </w:rPr>
        <w:lastRenderedPageBreak/>
        <w:t>Tisztelt Képviselő-testület!</w:t>
      </w:r>
    </w:p>
    <w:p w:rsidR="00F401AA" w:rsidRPr="001E1552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0"/>
          <w:szCs w:val="20"/>
        </w:rPr>
      </w:pPr>
    </w:p>
    <w:p w:rsidR="00F401AA" w:rsidRPr="001E1552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0"/>
          <w:szCs w:val="20"/>
        </w:rPr>
      </w:pPr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Önkormányzatunk a nyári </w:t>
      </w:r>
      <w:proofErr w:type="gramStart"/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szezont</w:t>
      </w:r>
      <w:proofErr w:type="gramEnd"/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megelőzően minden évben felülvizsgálja a községi strand működéséről szóló önkormányzati rendeletét a jogi és gazdasági környezet változásaira</w:t>
      </w:r>
      <w:r w:rsidR="002B6598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, </w:t>
      </w:r>
      <w:r w:rsidR="00395165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és az előző év(</w:t>
      </w:r>
      <w:proofErr w:type="spellStart"/>
      <w:r w:rsidR="00395165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ek</w:t>
      </w:r>
      <w:proofErr w:type="spellEnd"/>
      <w:r w:rsidR="00395165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)</w:t>
      </w:r>
      <w:r w:rsidR="002B6598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gyakorlati</w:t>
      </w:r>
      <w:r w:rsidR="00395165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tapasztalatai</w:t>
      </w:r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ra </w:t>
      </w:r>
      <w:r w:rsidR="00395165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is </w:t>
      </w:r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tekintettel.</w:t>
      </w:r>
    </w:p>
    <w:p w:rsidR="00C778A3" w:rsidRPr="001E1552" w:rsidRDefault="00C778A3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0"/>
          <w:szCs w:val="20"/>
        </w:rPr>
      </w:pPr>
    </w:p>
    <w:p w:rsidR="00F11B6C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0"/>
          <w:szCs w:val="20"/>
        </w:rPr>
      </w:pPr>
      <w:r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A felülvizsgálat I. fordulójában</w:t>
      </w:r>
      <w:r w:rsidR="002B6598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- az üzemeltető előterjesztése alapján-</w:t>
      </w:r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a képviselő-testület </w:t>
      </w:r>
      <w:r w:rsidR="008A373B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megkezdte a rendelet felülvizsgálatának megtárgyalását. A</w:t>
      </w:r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tavalyi évben a jegyárakon a testület nem emelt, azonban a képviselők</w:t>
      </w:r>
      <w:r w:rsidR="008A373B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</w:t>
      </w:r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egységes álláspontja szerint </w:t>
      </w:r>
      <w:r w:rsidR="000E6320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a dologi és személy</w:t>
      </w:r>
      <w:r w:rsidR="008A373B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i kiadások növekedése</w:t>
      </w:r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, a tervezett, és folyamatos fejlesztések </w:t>
      </w:r>
      <w:proofErr w:type="gramStart"/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finanszírozásának</w:t>
      </w:r>
      <w:proofErr w:type="gramEnd"/>
      <w:r w:rsidR="004712A2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fedezése cél</w:t>
      </w:r>
      <w:r w:rsidR="00D03859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>jából elengedhetetlen a szolgáltatási díjak emelése a következők szerint:</w:t>
      </w:r>
      <w:r w:rsidR="008A373B" w:rsidRPr="001E1552">
        <w:rPr>
          <w:rFonts w:ascii="Century Gothic" w:eastAsia="Sylfaen" w:hAnsi="Century Gothic" w:cs="Sylfaen"/>
          <w:bCs/>
          <w:color w:val="000000"/>
          <w:sz w:val="20"/>
          <w:szCs w:val="20"/>
        </w:rPr>
        <w:t xml:space="preserve"> </w:t>
      </w:r>
    </w:p>
    <w:p w:rsidR="00F11B6C" w:rsidRDefault="00F11B6C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0"/>
          <w:szCs w:val="20"/>
        </w:rPr>
      </w:pPr>
    </w:p>
    <w:p w:rsidR="00F11B6C" w:rsidRPr="001E1552" w:rsidRDefault="00F11B6C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0"/>
          <w:szCs w:val="20"/>
        </w:rPr>
      </w:pPr>
    </w:p>
    <w:tbl>
      <w:tblPr>
        <w:tblStyle w:val="Rcsostblzat"/>
        <w:tblW w:w="9635" w:type="dxa"/>
        <w:tblLook w:val="0600" w:firstRow="0" w:lastRow="0" w:firstColumn="0" w:lastColumn="0" w:noHBand="1" w:noVBand="1"/>
      </w:tblPr>
      <w:tblGrid>
        <w:gridCol w:w="1414"/>
        <w:gridCol w:w="2867"/>
        <w:gridCol w:w="1391"/>
        <w:gridCol w:w="2158"/>
        <w:gridCol w:w="1805"/>
      </w:tblGrid>
      <w:tr w:rsidR="001E1552" w:rsidTr="00E2026B">
        <w:tc>
          <w:tcPr>
            <w:tcW w:w="1310" w:type="dxa"/>
          </w:tcPr>
          <w:p w:rsidR="001E1552" w:rsidRDefault="001E1552" w:rsidP="00FE3A3C">
            <w:pPr>
              <w:keepNext/>
              <w:keepLines/>
              <w:spacing w:after="2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Belépő megnevezése</w:t>
            </w:r>
          </w:p>
        </w:tc>
        <w:tc>
          <w:tcPr>
            <w:tcW w:w="2932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Felnőtt</w:t>
            </w:r>
          </w:p>
        </w:tc>
        <w:tc>
          <w:tcPr>
            <w:tcW w:w="1393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Gyermek</w:t>
            </w:r>
          </w:p>
        </w:tc>
        <w:tc>
          <w:tcPr>
            <w:tcW w:w="2186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Családi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Érvényesség</w:t>
            </w:r>
          </w:p>
        </w:tc>
      </w:tr>
      <w:tr w:rsidR="001E1552" w:rsidTr="00E2026B">
        <w:tc>
          <w:tcPr>
            <w:tcW w:w="1310" w:type="dxa"/>
          </w:tcPr>
          <w:p w:rsidR="001E1552" w:rsidRDefault="001E1552" w:rsidP="001E1552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Napi jegy</w:t>
            </w:r>
          </w:p>
        </w:tc>
        <w:tc>
          <w:tcPr>
            <w:tcW w:w="2932" w:type="dxa"/>
          </w:tcPr>
          <w:p w:rsidR="001E1552" w:rsidRPr="00877D32" w:rsidRDefault="001E1552" w:rsidP="00FE3A3C">
            <w:pPr>
              <w:jc w:val="center"/>
              <w:rPr>
                <w:rFonts w:eastAsia="Times New Roman"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color w:val="00B050"/>
                <w:sz w:val="22"/>
                <w:szCs w:val="22"/>
              </w:rPr>
              <w:t>1 400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1 200 Ft</w:t>
            </w:r>
          </w:p>
        </w:tc>
        <w:tc>
          <w:tcPr>
            <w:tcW w:w="1393" w:type="dxa"/>
          </w:tcPr>
          <w:p w:rsidR="001E1552" w:rsidRPr="00877D3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>800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700 Ft</w:t>
            </w:r>
          </w:p>
          <w:p w:rsidR="001E1552" w:rsidRDefault="001E1552" w:rsidP="00FE3A3C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2186" w:type="dxa"/>
          </w:tcPr>
          <w:p w:rsidR="001E1552" w:rsidRPr="00877D32" w:rsidRDefault="001E1552" w:rsidP="00FE3A3C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>3 900 Ft</w:t>
            </w:r>
          </w:p>
          <w:p w:rsidR="001E1552" w:rsidRDefault="001E1552" w:rsidP="00FE3A3C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3 200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két felnőttre és 3 gyermekre vonatkozik) 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FF0000"/>
                <w:sz w:val="22"/>
                <w:szCs w:val="22"/>
              </w:rPr>
              <w:t>Így 500 Ft a kedvezmény értéke= 100 Ft/fő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megvásárlás napján 9:00 – 19:00 óráig</w:t>
            </w:r>
          </w:p>
        </w:tc>
      </w:tr>
      <w:tr w:rsidR="001E1552" w:rsidTr="00E2026B">
        <w:tc>
          <w:tcPr>
            <w:tcW w:w="1310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Délutáni jegy</w:t>
            </w:r>
          </w:p>
        </w:tc>
        <w:tc>
          <w:tcPr>
            <w:tcW w:w="2932" w:type="dxa"/>
          </w:tcPr>
          <w:p w:rsidR="001E1552" w:rsidRPr="00877D32" w:rsidRDefault="001E1552" w:rsidP="00FE3A3C">
            <w:pPr>
              <w:jc w:val="center"/>
              <w:rPr>
                <w:rFonts w:eastAsia="Times New Roman"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color w:val="00B050"/>
                <w:sz w:val="22"/>
                <w:szCs w:val="22"/>
              </w:rPr>
              <w:t>800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600 Ft</w:t>
            </w:r>
          </w:p>
        </w:tc>
        <w:tc>
          <w:tcPr>
            <w:tcW w:w="1393" w:type="dxa"/>
          </w:tcPr>
          <w:p w:rsidR="001E1552" w:rsidRPr="00877D3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>500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400 Ft</w:t>
            </w:r>
          </w:p>
          <w:p w:rsidR="001E1552" w:rsidRDefault="001E1552" w:rsidP="00FE3A3C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186" w:type="dxa"/>
          </w:tcPr>
          <w:p w:rsidR="001E1552" w:rsidRDefault="001E1552" w:rsidP="00FE3A3C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16:00 órától 19:00 óráig</w:t>
            </w:r>
          </w:p>
        </w:tc>
      </w:tr>
      <w:tr w:rsidR="001E1552" w:rsidTr="00E2026B">
        <w:tc>
          <w:tcPr>
            <w:tcW w:w="1310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Heti jegy </w:t>
            </w:r>
          </w:p>
        </w:tc>
        <w:tc>
          <w:tcPr>
            <w:tcW w:w="2932" w:type="dxa"/>
          </w:tcPr>
          <w:p w:rsidR="001E1552" w:rsidRPr="00877D32" w:rsidRDefault="001E1552" w:rsidP="00FE3A3C">
            <w:pPr>
              <w:jc w:val="center"/>
              <w:rPr>
                <w:rFonts w:eastAsia="Times New Roman"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color w:val="00B050"/>
                <w:sz w:val="22"/>
                <w:szCs w:val="22"/>
              </w:rPr>
              <w:t>7 000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6 000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</w:p>
          <w:p w:rsidR="001E1552" w:rsidRPr="00877D32" w:rsidRDefault="001E1552" w:rsidP="00FE3A3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77D32">
              <w:rPr>
                <w:rFonts w:eastAsia="Times New Roman"/>
                <w:color w:val="00B050"/>
                <w:sz w:val="22"/>
                <w:szCs w:val="22"/>
              </w:rPr>
              <w:t>5x1.400 Ft</w:t>
            </w:r>
          </w:p>
        </w:tc>
        <w:tc>
          <w:tcPr>
            <w:tcW w:w="1393" w:type="dxa"/>
          </w:tcPr>
          <w:p w:rsidR="001E1552" w:rsidRPr="00877D3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>3 900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3 000 Ft</w:t>
            </w:r>
          </w:p>
          <w:p w:rsidR="001E1552" w:rsidRDefault="001E1552" w:rsidP="00FE3A3C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</w:t>
            </w:r>
          </w:p>
          <w:p w:rsidR="001E1552" w:rsidRPr="00877D3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B05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 xml:space="preserve">5x800 Ft 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877D32">
              <w:rPr>
                <w:rFonts w:eastAsia="Times New Roman"/>
                <w:bCs/>
                <w:color w:val="00B050"/>
                <w:sz w:val="22"/>
                <w:szCs w:val="22"/>
              </w:rPr>
              <w:t>-100 Ft</w:t>
            </w:r>
          </w:p>
        </w:tc>
        <w:tc>
          <w:tcPr>
            <w:tcW w:w="2186" w:type="dxa"/>
          </w:tcPr>
          <w:p w:rsidR="001E1552" w:rsidRDefault="001E1552" w:rsidP="00FE3A3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877D32">
              <w:rPr>
                <w:rFonts w:eastAsia="Times New Roman"/>
                <w:color w:val="00B050"/>
                <w:sz w:val="22"/>
                <w:szCs w:val="22"/>
              </w:rPr>
              <w:t xml:space="preserve">19 </w:t>
            </w:r>
            <w:r>
              <w:rPr>
                <w:rFonts w:eastAsia="Times New Roman"/>
                <w:color w:val="00B050"/>
                <w:sz w:val="22"/>
                <w:szCs w:val="22"/>
              </w:rPr>
              <w:t>5</w:t>
            </w:r>
            <w:r w:rsidRPr="00877D32">
              <w:rPr>
                <w:rFonts w:eastAsia="Times New Roman"/>
                <w:color w:val="00B050"/>
                <w:sz w:val="22"/>
                <w:szCs w:val="22"/>
              </w:rPr>
              <w:t>00 Ft</w:t>
            </w:r>
          </w:p>
          <w:p w:rsidR="001E1552" w:rsidRPr="00877D32" w:rsidRDefault="001E1552" w:rsidP="00FE3A3C">
            <w:pPr>
              <w:jc w:val="center"/>
              <w:rPr>
                <w:rFonts w:eastAsia="Times New Roman"/>
                <w:strike/>
                <w:color w:val="000000" w:themeColor="text1"/>
                <w:sz w:val="22"/>
                <w:szCs w:val="22"/>
              </w:rPr>
            </w:pPr>
            <w:r w:rsidRPr="00877D32">
              <w:rPr>
                <w:rFonts w:eastAsia="Times New Roman"/>
                <w:strike/>
                <w:color w:val="000000" w:themeColor="text1"/>
                <w:sz w:val="22"/>
                <w:szCs w:val="22"/>
              </w:rPr>
              <w:t>15 000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megvásárlás napjától számított 7 napig</w:t>
            </w:r>
          </w:p>
        </w:tc>
      </w:tr>
      <w:tr w:rsidR="001E1552" w:rsidTr="00E2026B">
        <w:tc>
          <w:tcPr>
            <w:tcW w:w="1310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Havi jegy </w:t>
            </w:r>
          </w:p>
        </w:tc>
        <w:tc>
          <w:tcPr>
            <w:tcW w:w="2932" w:type="dxa"/>
          </w:tcPr>
          <w:p w:rsidR="001E1552" w:rsidRDefault="00C439A4" w:rsidP="00FE3A3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B050"/>
                <w:sz w:val="22"/>
                <w:szCs w:val="22"/>
              </w:rPr>
              <w:t>25</w:t>
            </w:r>
            <w:r w:rsidR="001E1552" w:rsidRPr="00877D32">
              <w:rPr>
                <w:rFonts w:eastAsia="Times New Roman"/>
                <w:color w:val="00B050"/>
                <w:sz w:val="22"/>
                <w:szCs w:val="22"/>
              </w:rPr>
              <w:t xml:space="preserve"> 000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20 000 Ft</w:t>
            </w:r>
          </w:p>
        </w:tc>
        <w:tc>
          <w:tcPr>
            <w:tcW w:w="1393" w:type="dxa"/>
          </w:tcPr>
          <w:p w:rsidR="001E1552" w:rsidRPr="00877D32" w:rsidRDefault="00C439A4" w:rsidP="00FE3A3C">
            <w:pPr>
              <w:jc w:val="center"/>
              <w:rPr>
                <w:rFonts w:eastAsia="Times New Roman"/>
                <w:color w:val="00B050"/>
                <w:sz w:val="22"/>
                <w:szCs w:val="22"/>
              </w:rPr>
            </w:pPr>
            <w:r>
              <w:rPr>
                <w:rFonts w:eastAsia="Times New Roman"/>
                <w:color w:val="00B050"/>
                <w:sz w:val="22"/>
                <w:szCs w:val="22"/>
              </w:rPr>
              <w:t>14 5</w:t>
            </w:r>
            <w:r w:rsidR="001E1552" w:rsidRPr="00877D32">
              <w:rPr>
                <w:rFonts w:eastAsia="Times New Roman"/>
                <w:color w:val="00B050"/>
                <w:sz w:val="22"/>
                <w:szCs w:val="22"/>
              </w:rPr>
              <w:t>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12 000 Ft</w:t>
            </w:r>
          </w:p>
        </w:tc>
        <w:tc>
          <w:tcPr>
            <w:tcW w:w="2186" w:type="dxa"/>
          </w:tcPr>
          <w:p w:rsidR="001E1552" w:rsidRPr="00E37853" w:rsidRDefault="001E1552" w:rsidP="00FE3A3C">
            <w:pPr>
              <w:jc w:val="center"/>
              <w:rPr>
                <w:rFonts w:eastAsia="Times New Roman"/>
                <w:color w:val="00B050"/>
                <w:sz w:val="22"/>
                <w:szCs w:val="22"/>
              </w:rPr>
            </w:pPr>
            <w:r w:rsidRPr="00E37853">
              <w:rPr>
                <w:rFonts w:eastAsia="Times New Roman"/>
                <w:color w:val="00B050"/>
                <w:sz w:val="22"/>
                <w:szCs w:val="22"/>
              </w:rPr>
              <w:t>55 000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megvásárlás napjától számított 30 napig</w:t>
            </w:r>
          </w:p>
        </w:tc>
      </w:tr>
      <w:tr w:rsidR="001E1552" w:rsidTr="00E2026B">
        <w:trPr>
          <w:trHeight w:val="1458"/>
        </w:trPr>
        <w:tc>
          <w:tcPr>
            <w:tcW w:w="1310" w:type="dxa"/>
          </w:tcPr>
          <w:p w:rsidR="001E1552" w:rsidRDefault="001E1552" w:rsidP="00FE3A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Szezonjegy</w:t>
            </w:r>
          </w:p>
        </w:tc>
        <w:tc>
          <w:tcPr>
            <w:tcW w:w="2932" w:type="dxa"/>
          </w:tcPr>
          <w:p w:rsidR="001E1552" w:rsidRDefault="00C439A4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42</w:t>
            </w:r>
            <w:r w:rsidR="001E1552"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000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36 000 Ft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</w:p>
          <w:p w:rsidR="001E1552" w:rsidRPr="00E37853" w:rsidRDefault="00C439A4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B050"/>
                <w:sz w:val="22"/>
                <w:szCs w:val="22"/>
              </w:rPr>
              <w:t>30</w:t>
            </w:r>
            <w:r w:rsidR="001E1552" w:rsidRPr="00E37853">
              <w:rPr>
                <w:rFonts w:eastAsia="Times New Roman"/>
                <w:bCs/>
                <w:color w:val="00B050"/>
                <w:sz w:val="22"/>
                <w:szCs w:val="22"/>
              </w:rPr>
              <w:t xml:space="preserve"> napijegy árával </w:t>
            </w:r>
            <w:proofErr w:type="gramStart"/>
            <w:r w:rsidR="001E1552" w:rsidRPr="00E37853">
              <w:rPr>
                <w:rFonts w:eastAsia="Times New Roman"/>
                <w:bCs/>
                <w:color w:val="00B050"/>
                <w:sz w:val="22"/>
                <w:szCs w:val="22"/>
              </w:rPr>
              <w:t>kalkulálva</w:t>
            </w:r>
            <w:proofErr w:type="gramEnd"/>
          </w:p>
        </w:tc>
        <w:tc>
          <w:tcPr>
            <w:tcW w:w="1393" w:type="dxa"/>
          </w:tcPr>
          <w:p w:rsidR="001E1552" w:rsidRDefault="00C439A4" w:rsidP="00FE3A3C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24</w:t>
            </w:r>
            <w:r w:rsidR="001E1552">
              <w:rPr>
                <w:rFonts w:eastAsia="Times New Roman"/>
                <w:color w:val="FF0000"/>
                <w:sz w:val="22"/>
                <w:szCs w:val="22"/>
              </w:rPr>
              <w:t xml:space="preserve"> 000 Ft</w:t>
            </w:r>
          </w:p>
          <w:p w:rsidR="001E1552" w:rsidRDefault="001E1552" w:rsidP="00FE3A3C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20 000 Ft</w:t>
            </w:r>
          </w:p>
          <w:p w:rsidR="001E1552" w:rsidRPr="00E37853" w:rsidRDefault="00C439A4" w:rsidP="00FE3A3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B050"/>
                <w:sz w:val="22"/>
                <w:szCs w:val="22"/>
              </w:rPr>
              <w:t>30</w:t>
            </w:r>
            <w:r w:rsidR="001E1552" w:rsidRPr="00E37853">
              <w:rPr>
                <w:rFonts w:eastAsia="Times New Roman"/>
                <w:color w:val="00B050"/>
                <w:sz w:val="22"/>
                <w:szCs w:val="22"/>
              </w:rPr>
              <w:t xml:space="preserve"> napijegy árával </w:t>
            </w:r>
            <w:proofErr w:type="gramStart"/>
            <w:r w:rsidR="001E1552" w:rsidRPr="00E37853">
              <w:rPr>
                <w:rFonts w:eastAsia="Times New Roman"/>
                <w:color w:val="00B050"/>
                <w:sz w:val="22"/>
                <w:szCs w:val="22"/>
              </w:rPr>
              <w:t>kalkulálva</w:t>
            </w:r>
            <w:proofErr w:type="gramEnd"/>
            <w:r w:rsidR="001E1552" w:rsidRPr="00E37853">
              <w:rPr>
                <w:rFonts w:eastAsia="Times New Roman"/>
                <w:color w:val="00B050"/>
                <w:sz w:val="22"/>
                <w:szCs w:val="22"/>
              </w:rPr>
              <w:t xml:space="preserve"> -1000 Ft kedvezmény</w:t>
            </w:r>
          </w:p>
        </w:tc>
        <w:tc>
          <w:tcPr>
            <w:tcW w:w="2186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</w:p>
          <w:p w:rsidR="001E1552" w:rsidRDefault="001E1552" w:rsidP="00FE3A3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14" w:type="dxa"/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strand éves nyitvatartási ideje alatt</w:t>
            </w:r>
          </w:p>
        </w:tc>
      </w:tr>
    </w:tbl>
    <w:tbl>
      <w:tblPr>
        <w:tblW w:w="9635" w:type="dxa"/>
        <w:tblLook w:val="0600" w:firstRow="0" w:lastRow="0" w:firstColumn="0" w:lastColumn="0" w:noHBand="1" w:noVBand="1"/>
      </w:tblPr>
      <w:tblGrid>
        <w:gridCol w:w="5054"/>
        <w:gridCol w:w="4581"/>
      </w:tblGrid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lastRenderedPageBreak/>
              <w:t>egyszeri igazolvány készítés díja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1000 Ft/fő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állandó lakos strandigazolvány érvényesítés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3 000 Ft/fő/év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2 000 Ft/fő/év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Pótdíj jogosulatlan belépés esetén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5 000 Ft /alkalom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Napozóágy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1 500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1 200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/nap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Értékmegőrző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600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500 Ft 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/nap</w:t>
            </w:r>
          </w:p>
        </w:tc>
      </w:tr>
      <w:tr w:rsidR="001E1552" w:rsidTr="00FE3A3C">
        <w:tc>
          <w:tcPr>
            <w:tcW w:w="9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Kabin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Napi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1 300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1 000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>érvényes a megvásárlás napján 8:00 – 18:00 óráig 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heti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 5 500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5 000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>érvényes a megvásárlás napjától számított 7 napig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havi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19 000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</w:p>
          <w:p w:rsidR="001E1552" w:rsidRDefault="001E1552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16 000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>érvényes a megvásárlás napjától számított 30 napig</w:t>
            </w:r>
          </w:p>
        </w:tc>
      </w:tr>
      <w:tr w:rsidR="001E1552" w:rsidTr="00FE3A3C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1E1552" w:rsidP="00FE3A3C">
            <w:pPr>
              <w:keepNext/>
              <w:keepLines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Hangosbemondó használata reklámszöveg bemondására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E1552" w:rsidRDefault="00C439A4" w:rsidP="00FE3A3C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1 000 Ft/alkalom maximum 2 perc időtartamban, egy nap legfeljebb 3 alkalommal</w:t>
            </w:r>
            <w:bookmarkStart w:id="0" w:name="_GoBack"/>
            <w:bookmarkEnd w:id="0"/>
          </w:p>
        </w:tc>
      </w:tr>
    </w:tbl>
    <w:p w:rsidR="001E1552" w:rsidRDefault="001E1552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1E1552" w:rsidRDefault="001E1552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0D3BC7" w:rsidRPr="004712A2" w:rsidRDefault="004712A2" w:rsidP="004712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tavalyi évben módosult a községben építményadót fizetők kedvezménye, miszerint 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>valamennyi építményadót fizető</w:t>
      </w:r>
      <w:r w:rsidR="00AC1344" w:rsidRPr="004712A2">
        <w:rPr>
          <w:rFonts w:ascii="Century Gothic" w:eastAsia="Sylfaen" w:hAnsi="Century Gothic" w:cs="Sylfaen"/>
          <w:bCs/>
          <w:sz w:val="22"/>
          <w:szCs w:val="22"/>
        </w:rPr>
        <w:t xml:space="preserve"> adóalany 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>- amennyiben adóhátralékkel nem rendelkezik- az előző évben kivetett és befizetett építményadó</w:t>
      </w:r>
      <w:r w:rsidR="00AC1344" w:rsidRPr="004712A2">
        <w:rPr>
          <w:rFonts w:ascii="Century Gothic" w:eastAsia="DengXian" w:hAnsi="Century Gothic" w:cs="Sylfaen"/>
          <w:bCs/>
          <w:sz w:val="22"/>
          <w:szCs w:val="22"/>
        </w:rPr>
        <w:t>ja 3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>0 %-</w:t>
      </w:r>
      <w:proofErr w:type="spellStart"/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>ának</w:t>
      </w:r>
      <w:proofErr w:type="spellEnd"/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 xml:space="preserve"> megfelelő összegű kedvezményre </w:t>
      </w:r>
      <w:r w:rsidR="00AC1344" w:rsidRPr="004712A2">
        <w:rPr>
          <w:rFonts w:ascii="Century Gothic" w:eastAsia="Sylfaen" w:hAnsi="Century Gothic" w:cs="Sylfaen"/>
          <w:bCs/>
          <w:sz w:val="22"/>
          <w:szCs w:val="22"/>
        </w:rPr>
        <w:t xml:space="preserve">lesz 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 xml:space="preserve">jogosult </w:t>
      </w:r>
      <w:r w:rsidR="006D1E01" w:rsidRPr="004712A2">
        <w:rPr>
          <w:rFonts w:ascii="Century Gothic" w:eastAsia="Sylfaen" w:hAnsi="Century Gothic" w:cs="Sylfaen"/>
          <w:bCs/>
          <w:sz w:val="22"/>
          <w:szCs w:val="22"/>
        </w:rPr>
        <w:t xml:space="preserve">választása szerint 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 xml:space="preserve">egy darab szezonjegy, vagy egy darab felnőtt havi jegy </w:t>
      </w:r>
      <w:r w:rsidR="00AC1344" w:rsidRPr="004712A2">
        <w:rPr>
          <w:rFonts w:ascii="Century Gothic" w:eastAsia="Sylfaen" w:hAnsi="Century Gothic" w:cs="Sylfaen"/>
          <w:bCs/>
          <w:sz w:val="22"/>
          <w:szCs w:val="22"/>
        </w:rPr>
        <w:t>megvásárlása esetén.</w:t>
      </w:r>
      <w:r w:rsidR="00AC1344" w:rsidRPr="004712A2">
        <w:rPr>
          <w:rFonts w:ascii="Century Gothic" w:eastAsia="Sylfaen" w:hAnsi="Century Gothic" w:cs="Sylfaen" w:hint="eastAsia"/>
          <w:bCs/>
          <w:sz w:val="22"/>
          <w:szCs w:val="22"/>
        </w:rPr>
        <w:t xml:space="preserve"> </w:t>
      </w:r>
      <w:r w:rsidR="000D3BC7" w:rsidRPr="004712A2">
        <w:rPr>
          <w:rFonts w:ascii="Century Gothic" w:eastAsia="Sylfaen" w:hAnsi="Century Gothic" w:cs="Sylfaen"/>
          <w:bCs/>
          <w:sz w:val="22"/>
          <w:szCs w:val="22"/>
        </w:rPr>
        <w:t>A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 kedvezményezettek körébe tartoznak </w:t>
      </w:r>
      <w:r w:rsidR="000D3BC7" w:rsidRPr="004712A2">
        <w:rPr>
          <w:rFonts w:ascii="Century Gothic" w:eastAsia="Sylfaen" w:hAnsi="Century Gothic" w:cs="Sylfaen"/>
          <w:bCs/>
          <w:sz w:val="22"/>
          <w:szCs w:val="22"/>
        </w:rPr>
        <w:t>azok az adóalanyok is, akiknek csak az adott tárgyévben keletkezik építményadó-fizetési kötelezettségük</w:t>
      </w:r>
      <w:r w:rsidR="00792971" w:rsidRPr="004712A2">
        <w:rPr>
          <w:rFonts w:ascii="Century Gothic" w:eastAsia="Sylfaen" w:hAnsi="Century Gothic" w:cs="Sylfaen"/>
          <w:bCs/>
          <w:sz w:val="22"/>
          <w:szCs w:val="22"/>
        </w:rPr>
        <w:t>, feltéve, hogy az esedékes adó összegét befizették.</w:t>
      </w:r>
      <w:r w:rsidR="000D3BC7" w:rsidRPr="004712A2">
        <w:rPr>
          <w:rFonts w:ascii="Century Gothic" w:eastAsia="Sylfaen" w:hAnsi="Century Gothic" w:cs="Sylfaen"/>
          <w:bCs/>
          <w:sz w:val="22"/>
          <w:szCs w:val="22"/>
        </w:rPr>
        <w:t xml:space="preserve"> </w:t>
      </w:r>
    </w:p>
    <w:p w:rsidR="006D1E01" w:rsidRDefault="006D1E01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</w:p>
    <w:p w:rsidR="00792971" w:rsidRPr="004712A2" w:rsidRDefault="000D3BC7" w:rsidP="004712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sz w:val="22"/>
          <w:szCs w:val="22"/>
        </w:rPr>
      </w:pPr>
      <w:r w:rsidRPr="004712A2">
        <w:rPr>
          <w:rFonts w:ascii="Century Gothic" w:eastAsia="Sylfaen" w:hAnsi="Century Gothic" w:cs="Sylfaen"/>
          <w:bCs/>
          <w:sz w:val="22"/>
          <w:szCs w:val="22"/>
        </w:rPr>
        <w:t xml:space="preserve">A </w:t>
      </w:r>
      <w:r w:rsidR="008A373B" w:rsidRPr="004712A2">
        <w:rPr>
          <w:rFonts w:ascii="Century Gothic" w:eastAsia="Sylfaen" w:hAnsi="Century Gothic" w:cs="Sylfaen"/>
          <w:bCs/>
          <w:sz w:val="22"/>
          <w:szCs w:val="22"/>
        </w:rPr>
        <w:t>kedv</w:t>
      </w:r>
      <w:r w:rsidRPr="004712A2">
        <w:rPr>
          <w:rFonts w:ascii="Century Gothic" w:eastAsia="Sylfaen" w:hAnsi="Century Gothic" w:cs="Sylfaen"/>
          <w:bCs/>
          <w:sz w:val="22"/>
          <w:szCs w:val="22"/>
        </w:rPr>
        <w:t xml:space="preserve">ezmény </w:t>
      </w:r>
      <w:r w:rsidR="004712A2">
        <w:rPr>
          <w:rFonts w:ascii="Century Gothic" w:eastAsia="Sylfaen" w:hAnsi="Century Gothic" w:cs="Sylfaen"/>
          <w:bCs/>
          <w:sz w:val="22"/>
          <w:szCs w:val="22"/>
        </w:rPr>
        <w:t xml:space="preserve">vonatkozásában a képviselő-testület javasolta a kedvezmény beszámításával megvásárolható </w:t>
      </w:r>
      <w:r w:rsidR="00C36670">
        <w:rPr>
          <w:rFonts w:ascii="Century Gothic" w:eastAsia="Sylfaen" w:hAnsi="Century Gothic" w:cs="Sylfaen"/>
          <w:bCs/>
          <w:sz w:val="22"/>
          <w:szCs w:val="22"/>
        </w:rPr>
        <w:t>szezonjegy, vagy</w:t>
      </w:r>
      <w:r w:rsidR="00977156">
        <w:rPr>
          <w:rFonts w:ascii="Century Gothic" w:eastAsia="Sylfaen" w:hAnsi="Century Gothic" w:cs="Sylfaen"/>
          <w:bCs/>
          <w:sz w:val="22"/>
          <w:szCs w:val="22"/>
        </w:rPr>
        <w:t xml:space="preserve"> </w:t>
      </w:r>
      <w:r w:rsidR="004712A2">
        <w:rPr>
          <w:rFonts w:ascii="Century Gothic" w:eastAsia="Sylfaen" w:hAnsi="Century Gothic" w:cs="Sylfaen"/>
          <w:bCs/>
          <w:sz w:val="22"/>
          <w:szCs w:val="22"/>
        </w:rPr>
        <w:t>havi</w:t>
      </w:r>
      <w:r w:rsidR="00977156">
        <w:rPr>
          <w:rFonts w:ascii="Century Gothic" w:eastAsia="Sylfaen" w:hAnsi="Century Gothic" w:cs="Sylfaen"/>
          <w:bCs/>
          <w:sz w:val="22"/>
          <w:szCs w:val="22"/>
        </w:rPr>
        <w:t xml:space="preserve"> jegy </w:t>
      </w:r>
      <w:r w:rsidR="004712A2">
        <w:rPr>
          <w:rFonts w:ascii="Century Gothic" w:eastAsia="Sylfaen" w:hAnsi="Century Gothic" w:cs="Sylfaen"/>
          <w:bCs/>
          <w:sz w:val="22"/>
          <w:szCs w:val="22"/>
        </w:rPr>
        <w:t>számának korlátozására vonatkozó rendelkezések eltörlését.</w:t>
      </w:r>
    </w:p>
    <w:p w:rsidR="00594C00" w:rsidRPr="00594C00" w:rsidRDefault="00594C00" w:rsidP="00594C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3430B2" w:rsidRDefault="001822AB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Kérem az előterjesztés szerinti</w:t>
      </w:r>
      <w:r w:rsidR="00C62F92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rendelet-tervezet megvitatását, javaslom annak elfogadását.</w:t>
      </w:r>
    </w:p>
    <w:p w:rsidR="00C62F92" w:rsidRDefault="00C62F92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F11B6C" w:rsidRDefault="00F11B6C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C62F92" w:rsidRDefault="004712A2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Balatonberény, 2025. április 16</w:t>
      </w:r>
      <w:r w:rsidR="00C62F92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. </w:t>
      </w:r>
    </w:p>
    <w:p w:rsidR="00F11B6C" w:rsidRDefault="00F11B6C" w:rsidP="00C62F9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F11B6C" w:rsidRDefault="00F11B6C" w:rsidP="00C62F9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F11B6C" w:rsidRDefault="00F11B6C" w:rsidP="00C62F9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C62F92" w:rsidRDefault="00C62F92" w:rsidP="00C62F9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Druskoczi</w:t>
      </w:r>
      <w:proofErr w:type="spellEnd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Tünde </w:t>
      </w:r>
      <w:proofErr w:type="spell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sk</w:t>
      </w:r>
      <w:proofErr w:type="spellEnd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.</w:t>
      </w:r>
    </w:p>
    <w:p w:rsidR="00872646" w:rsidRDefault="00C62F92" w:rsidP="00EC74E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proofErr w:type="gram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polgármester</w:t>
      </w:r>
      <w:proofErr w:type="gramEnd"/>
    </w:p>
    <w:p w:rsidR="00DF7041" w:rsidRPr="00EC74EC" w:rsidRDefault="00DF7041" w:rsidP="00EC74E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1E1552" w:rsidRDefault="001E1552" w:rsidP="003430B2">
      <w:pPr>
        <w:shd w:val="clear" w:color="auto" w:fill="FFFFFF"/>
        <w:ind w:left="-567" w:right="-457"/>
        <w:jc w:val="center"/>
        <w:rPr>
          <w:rFonts w:hint="eastAsia"/>
          <w:b/>
        </w:rPr>
      </w:pPr>
    </w:p>
    <w:p w:rsidR="003430B2" w:rsidRPr="008024B6" w:rsidRDefault="003430B2" w:rsidP="003430B2">
      <w:pPr>
        <w:shd w:val="clear" w:color="auto" w:fill="FFFFFF"/>
        <w:ind w:left="-567" w:right="-457"/>
        <w:jc w:val="center"/>
        <w:rPr>
          <w:rFonts w:hint="eastAsia"/>
          <w:b/>
        </w:rPr>
      </w:pPr>
      <w:r w:rsidRPr="008024B6">
        <w:rPr>
          <w:b/>
        </w:rPr>
        <w:lastRenderedPageBreak/>
        <w:t>TÁJÉKOZTATÓ AZ ELŐZETES HATÁSVIZSGÁLAT EREDMÉNYÉRŐL</w:t>
      </w:r>
    </w:p>
    <w:p w:rsidR="003430B2" w:rsidRPr="008024B6" w:rsidRDefault="003430B2" w:rsidP="003430B2">
      <w:pPr>
        <w:shd w:val="clear" w:color="auto" w:fill="FFFFFF"/>
        <w:jc w:val="center"/>
        <w:rPr>
          <w:rFonts w:hint="eastAsia"/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4"/>
        <w:gridCol w:w="993"/>
        <w:gridCol w:w="70"/>
        <w:gridCol w:w="2024"/>
        <w:gridCol w:w="325"/>
        <w:gridCol w:w="2153"/>
        <w:gridCol w:w="209"/>
        <w:gridCol w:w="1740"/>
        <w:gridCol w:w="1066"/>
      </w:tblGrid>
      <w:tr w:rsidR="003430B2" w:rsidRPr="008024B6" w:rsidTr="000037FB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címe: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Default="003430B2" w:rsidP="000037F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</w:rPr>
              <w:t xml:space="preserve">Balatonberény Község Önkormányzat </w:t>
            </w:r>
            <w:proofErr w:type="gramStart"/>
            <w:r>
              <w:rPr>
                <w:b/>
              </w:rPr>
              <w:t>Képviselő-t</w:t>
            </w:r>
            <w:r w:rsidRPr="008024B6">
              <w:rPr>
                <w:b/>
              </w:rPr>
              <w:t>estületének</w:t>
            </w:r>
            <w:r w:rsidR="00F80410">
              <w:rPr>
                <w:b/>
              </w:rPr>
              <w:t xml:space="preserve"> …</w:t>
            </w:r>
            <w:proofErr w:type="gramEnd"/>
            <w:r w:rsidRPr="008024B6">
              <w:rPr>
                <w:b/>
              </w:rPr>
              <w:t>/20</w:t>
            </w:r>
            <w:r w:rsidR="00D03859">
              <w:rPr>
                <w:b/>
              </w:rPr>
              <w:t>25</w:t>
            </w:r>
            <w:r w:rsidRPr="008024B6">
              <w:rPr>
                <w:b/>
              </w:rPr>
              <w:t>.(. …) önkormányzati rendelete</w:t>
            </w:r>
          </w:p>
          <w:p w:rsidR="003430B2" w:rsidRPr="00B43A82" w:rsidRDefault="003430B2" w:rsidP="000037FB">
            <w:pPr>
              <w:jc w:val="center"/>
              <w:rPr>
                <w:rFonts w:hint="eastAsia"/>
                <w:b/>
              </w:rPr>
            </w:pPr>
            <w:r>
              <w:rPr>
                <w:b/>
                <w:bCs/>
              </w:rPr>
              <w:t>a községi strand működéséről szóló 4/2021.(V.19.) önkormányzati rendelet módosításáról</w:t>
            </w:r>
          </w:p>
        </w:tc>
      </w:tr>
      <w:tr w:rsidR="003430B2" w:rsidRPr="008024B6" w:rsidTr="000037FB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  <w:r w:rsidR="001822AB">
              <w:rPr>
                <w:b/>
              </w:rPr>
              <w:t>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</w:p>
        </w:tc>
      </w:tr>
      <w:tr w:rsidR="003430B2" w:rsidRPr="008024B6" w:rsidTr="000037FB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Társadalmi, gazdasági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Környezeti,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egészségügyi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Adminisztratív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terheket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Egyéb hatás:</w:t>
            </w:r>
          </w:p>
        </w:tc>
      </w:tr>
      <w:tr w:rsidR="003430B2" w:rsidRPr="008024B6" w:rsidTr="000037FB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t>A fizető</w:t>
            </w:r>
            <w:r w:rsidR="00F80410">
              <w:t xml:space="preserve">s strand </w:t>
            </w:r>
            <w:r>
              <w:t>a község általános és turisztikai megítélését befolyásoló tényező.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D03859" w:rsidP="00C62F92">
            <w:pPr>
              <w:shd w:val="clear" w:color="auto" w:fill="FFFFFF"/>
              <w:rPr>
                <w:rFonts w:hint="eastAsia"/>
              </w:rPr>
            </w:pPr>
            <w:r>
              <w:t>bevétel növekedést eredményez az üzemeltetéssel járó kiadások fedezése céljából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C62F92" w:rsidP="000037FB">
            <w:pPr>
              <w:shd w:val="clear" w:color="auto" w:fill="FFFFFF"/>
              <w:rPr>
                <w:rFonts w:hint="eastAsia"/>
              </w:rPr>
            </w:pPr>
            <w:r>
              <w:t>N</w:t>
            </w:r>
            <w:r w:rsidR="003430B2" w:rsidRPr="008024B6">
              <w:t>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44E" w:rsidRDefault="00C62F92" w:rsidP="00F80410">
            <w:pPr>
              <w:shd w:val="clear" w:color="auto" w:fill="FFFFFF"/>
              <w:rPr>
                <w:rFonts w:hint="eastAsia"/>
              </w:rPr>
            </w:pPr>
            <w:r>
              <w:t>Üzemeltetőnél és a</w:t>
            </w:r>
            <w:r w:rsidR="00F80410">
              <w:t xml:space="preserve"> hivatali munkavégzésben nem számottevő adminisztratív fe</w:t>
            </w:r>
            <w:r w:rsidR="00FB244E">
              <w:t>ladat</w:t>
            </w:r>
            <w:r w:rsidR="00F80410">
              <w:t>növekedés</w:t>
            </w:r>
            <w:r w:rsidR="00FB244E">
              <w:t>t</w:t>
            </w:r>
          </w:p>
          <w:p w:rsidR="003430B2" w:rsidRPr="008024B6" w:rsidRDefault="00FB244E" w:rsidP="00F80410">
            <w:pPr>
              <w:shd w:val="clear" w:color="auto" w:fill="FFFFFF"/>
              <w:rPr>
                <w:rFonts w:hint="eastAsia"/>
              </w:rPr>
            </w:pPr>
            <w:r>
              <w:t>eredményez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Nincs.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Default="003430B2" w:rsidP="000037FB">
            <w:pPr>
              <w:shd w:val="clear" w:color="auto" w:fill="FFFFFF"/>
              <w:jc w:val="both"/>
              <w:rPr>
                <w:rFonts w:hint="eastAsia"/>
                <w:b/>
              </w:rPr>
            </w:pPr>
            <w:r w:rsidRPr="008024B6">
              <w:rPr>
                <w:b/>
              </w:rPr>
              <w:t>A rendelet megalkotása szükséges, mert:</w:t>
            </w:r>
            <w:r>
              <w:rPr>
                <w:b/>
              </w:rPr>
              <w:t xml:space="preserve"> </w:t>
            </w:r>
          </w:p>
          <w:p w:rsidR="00C62F92" w:rsidRPr="00C62F92" w:rsidRDefault="00C62F92" w:rsidP="000037FB">
            <w:pPr>
              <w:shd w:val="clear" w:color="auto" w:fill="FFFFFF"/>
              <w:jc w:val="both"/>
              <w:rPr>
                <w:rFonts w:hint="eastAsia"/>
              </w:rPr>
            </w:pPr>
            <w:r w:rsidRPr="00C62F92">
              <w:t xml:space="preserve">Az önkormányzat által fenntartott strand </w:t>
            </w:r>
            <w:r w:rsidR="006D1E01">
              <w:t>szolgáltatási díjai, a kedvezmények, valamint az üzemeltetés</w:t>
            </w:r>
            <w:r w:rsidRPr="00C62F92">
              <w:t xml:space="preserve"> szabályai csak rendelettel módosíthatók.</w:t>
            </w:r>
          </w:p>
        </w:tc>
      </w:tr>
      <w:tr w:rsidR="003430B2" w:rsidRPr="008024B6" w:rsidTr="000037FB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C62F92">
            <w:pPr>
              <w:shd w:val="clear" w:color="auto" w:fill="FFFFFF"/>
              <w:rPr>
                <w:rFonts w:hint="eastAsia"/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>
              <w:rPr>
                <w:b/>
              </w:rPr>
              <w:t xml:space="preserve"> </w:t>
            </w:r>
            <w:r w:rsidR="00C62F92" w:rsidRPr="00C62F92">
              <w:t>Törvényességi eljárást eredményezhet.</w:t>
            </w:r>
          </w:p>
        </w:tc>
      </w:tr>
      <w:tr w:rsidR="003430B2" w:rsidRPr="008024B6" w:rsidTr="000037FB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3430B2" w:rsidRPr="008024B6" w:rsidTr="000037FB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Pénzügyi: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</w:tr>
    </w:tbl>
    <w:p w:rsidR="003430B2" w:rsidRPr="008024B6" w:rsidRDefault="003430B2" w:rsidP="003430B2">
      <w:pPr>
        <w:shd w:val="clear" w:color="auto" w:fill="FFFFFF"/>
        <w:rPr>
          <w:rFonts w:hint="eastAsia"/>
        </w:rPr>
      </w:pPr>
    </w:p>
    <w:p w:rsidR="003430B2" w:rsidRDefault="003430B2" w:rsidP="003430B2">
      <w:pPr>
        <w:shd w:val="clear" w:color="auto" w:fill="FFFFFF"/>
        <w:jc w:val="right"/>
        <w:rPr>
          <w:rFonts w:hint="eastAsia"/>
        </w:rPr>
      </w:pPr>
    </w:p>
    <w:p w:rsidR="003430B2" w:rsidRPr="008024B6" w:rsidRDefault="001822AB" w:rsidP="001822AB">
      <w:pPr>
        <w:shd w:val="clear" w:color="auto" w:fill="FFFFFF"/>
        <w:jc w:val="center"/>
        <w:rPr>
          <w:rFonts w:hint="eastAsia"/>
        </w:rPr>
      </w:pPr>
      <w:r>
        <w:t xml:space="preserve">                                                                      </w:t>
      </w:r>
      <w:r w:rsidR="00C62F92">
        <w:t xml:space="preserve">                         Takácsné dr. Simán Zsuzsanna </w:t>
      </w:r>
      <w:proofErr w:type="spellStart"/>
      <w:r w:rsidR="00C62F92">
        <w:t>sk</w:t>
      </w:r>
      <w:proofErr w:type="spellEnd"/>
      <w:r w:rsidR="00C62F92">
        <w:t>.</w:t>
      </w:r>
    </w:p>
    <w:p w:rsidR="003430B2" w:rsidRPr="007D5F52" w:rsidRDefault="001822AB" w:rsidP="001822AB">
      <w:pPr>
        <w:pStyle w:val="Szvegtrzs"/>
        <w:spacing w:after="0" w:line="240" w:lineRule="auto"/>
        <w:jc w:val="both"/>
        <w:rPr>
          <w:rFonts w:ascii="Cambria" w:hAnsi="Cambria"/>
        </w:rPr>
      </w:pPr>
      <w:r>
        <w:t xml:space="preserve">                                                                                                                </w:t>
      </w:r>
      <w:proofErr w:type="gramStart"/>
      <w:r w:rsidR="003430B2" w:rsidRPr="008024B6">
        <w:t>jegyző</w:t>
      </w:r>
      <w:proofErr w:type="gramEnd"/>
    </w:p>
    <w:p w:rsidR="00DB0A08" w:rsidRDefault="00DB0A08">
      <w:pPr>
        <w:rPr>
          <w:rFonts w:hint="eastAsia"/>
        </w:rPr>
      </w:pPr>
    </w:p>
    <w:sectPr w:rsidR="00DB0A08" w:rsidSect="001E15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8C1"/>
    <w:multiLevelType w:val="hybridMultilevel"/>
    <w:tmpl w:val="F62805BC"/>
    <w:name w:val="Számozott lista 2"/>
    <w:lvl w:ilvl="0" w:tplc="54D87A20">
      <w:start w:val="1"/>
      <w:numFmt w:val="none"/>
      <w:suff w:val="nothing"/>
      <w:lvlText w:val=""/>
      <w:lvlJc w:val="left"/>
      <w:pPr>
        <w:ind w:left="0" w:firstLine="0"/>
      </w:pPr>
    </w:lvl>
    <w:lvl w:ilvl="1" w:tplc="C19ACECC">
      <w:start w:val="1"/>
      <w:numFmt w:val="none"/>
      <w:suff w:val="nothing"/>
      <w:lvlText w:val=""/>
      <w:lvlJc w:val="left"/>
      <w:pPr>
        <w:ind w:left="0" w:firstLine="0"/>
      </w:pPr>
    </w:lvl>
    <w:lvl w:ilvl="2" w:tplc="FE8AAECC">
      <w:start w:val="1"/>
      <w:numFmt w:val="none"/>
      <w:suff w:val="nothing"/>
      <w:lvlText w:val=""/>
      <w:lvlJc w:val="left"/>
      <w:pPr>
        <w:ind w:left="0" w:firstLine="0"/>
      </w:pPr>
    </w:lvl>
    <w:lvl w:ilvl="3" w:tplc="5CD60416">
      <w:start w:val="1"/>
      <w:numFmt w:val="none"/>
      <w:suff w:val="nothing"/>
      <w:lvlText w:val=""/>
      <w:lvlJc w:val="left"/>
      <w:pPr>
        <w:ind w:left="0" w:firstLine="0"/>
      </w:pPr>
    </w:lvl>
    <w:lvl w:ilvl="4" w:tplc="0D4C8DA0">
      <w:start w:val="1"/>
      <w:numFmt w:val="none"/>
      <w:suff w:val="nothing"/>
      <w:lvlText w:val=""/>
      <w:lvlJc w:val="left"/>
      <w:pPr>
        <w:ind w:left="0" w:firstLine="0"/>
      </w:pPr>
    </w:lvl>
    <w:lvl w:ilvl="5" w:tplc="95D47004">
      <w:start w:val="1"/>
      <w:numFmt w:val="none"/>
      <w:suff w:val="nothing"/>
      <w:lvlText w:val=""/>
      <w:lvlJc w:val="left"/>
      <w:pPr>
        <w:ind w:left="0" w:firstLine="0"/>
      </w:pPr>
    </w:lvl>
    <w:lvl w:ilvl="6" w:tplc="A880A472">
      <w:start w:val="1"/>
      <w:numFmt w:val="none"/>
      <w:suff w:val="nothing"/>
      <w:lvlText w:val=""/>
      <w:lvlJc w:val="left"/>
      <w:pPr>
        <w:ind w:left="0" w:firstLine="0"/>
      </w:pPr>
    </w:lvl>
    <w:lvl w:ilvl="7" w:tplc="55AACD80">
      <w:start w:val="1"/>
      <w:numFmt w:val="none"/>
      <w:suff w:val="nothing"/>
      <w:lvlText w:val=""/>
      <w:lvlJc w:val="left"/>
      <w:pPr>
        <w:ind w:left="0" w:firstLine="0"/>
      </w:pPr>
    </w:lvl>
    <w:lvl w:ilvl="8" w:tplc="2260374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CB5D19"/>
    <w:multiLevelType w:val="hybridMultilevel"/>
    <w:tmpl w:val="B4887C70"/>
    <w:lvl w:ilvl="0" w:tplc="908601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A63C1"/>
    <w:multiLevelType w:val="hybridMultilevel"/>
    <w:tmpl w:val="F6A6F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3FC6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55C25"/>
    <w:multiLevelType w:val="hybridMultilevel"/>
    <w:tmpl w:val="FD1E23A0"/>
    <w:lvl w:ilvl="0" w:tplc="E07CAD62">
      <w:numFmt w:val="bullet"/>
      <w:lvlText w:val="-"/>
      <w:lvlJc w:val="left"/>
      <w:pPr>
        <w:ind w:left="927" w:hanging="360"/>
      </w:pPr>
      <w:rPr>
        <w:rFonts w:ascii="Century Gothic" w:eastAsia="Sylfaen" w:hAnsi="Century Gothic" w:cs="Sylfae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C820D9C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B2"/>
    <w:rsid w:val="0000209C"/>
    <w:rsid w:val="000D3BC7"/>
    <w:rsid w:val="000E6320"/>
    <w:rsid w:val="001822AB"/>
    <w:rsid w:val="001E1552"/>
    <w:rsid w:val="002B6598"/>
    <w:rsid w:val="002B7880"/>
    <w:rsid w:val="00336C28"/>
    <w:rsid w:val="003430B2"/>
    <w:rsid w:val="00395165"/>
    <w:rsid w:val="003A21DD"/>
    <w:rsid w:val="004712A2"/>
    <w:rsid w:val="00476700"/>
    <w:rsid w:val="004C1946"/>
    <w:rsid w:val="00594C00"/>
    <w:rsid w:val="005D5218"/>
    <w:rsid w:val="006B6219"/>
    <w:rsid w:val="006D1E01"/>
    <w:rsid w:val="00792317"/>
    <w:rsid w:val="00792971"/>
    <w:rsid w:val="007E2069"/>
    <w:rsid w:val="00843243"/>
    <w:rsid w:val="00846677"/>
    <w:rsid w:val="00872646"/>
    <w:rsid w:val="008741BC"/>
    <w:rsid w:val="008A373B"/>
    <w:rsid w:val="008B7CB7"/>
    <w:rsid w:val="009217D5"/>
    <w:rsid w:val="00924C74"/>
    <w:rsid w:val="00977156"/>
    <w:rsid w:val="00AC1344"/>
    <w:rsid w:val="00B95E8A"/>
    <w:rsid w:val="00C36670"/>
    <w:rsid w:val="00C439A4"/>
    <w:rsid w:val="00C62F92"/>
    <w:rsid w:val="00C778A3"/>
    <w:rsid w:val="00CA7B4F"/>
    <w:rsid w:val="00CB31CB"/>
    <w:rsid w:val="00D03859"/>
    <w:rsid w:val="00D373F8"/>
    <w:rsid w:val="00D91AEE"/>
    <w:rsid w:val="00D97E3D"/>
    <w:rsid w:val="00DB0A08"/>
    <w:rsid w:val="00DD0349"/>
    <w:rsid w:val="00DF7041"/>
    <w:rsid w:val="00E2026B"/>
    <w:rsid w:val="00EC74EC"/>
    <w:rsid w:val="00F02665"/>
    <w:rsid w:val="00F11B6C"/>
    <w:rsid w:val="00F26AF6"/>
    <w:rsid w:val="00F401AA"/>
    <w:rsid w:val="00F72791"/>
    <w:rsid w:val="00F80410"/>
    <w:rsid w:val="00FB244E"/>
    <w:rsid w:val="00FC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1FC5"/>
  <w15:chartTrackingRefBased/>
  <w15:docId w15:val="{1F701FB5-4353-48A7-A9CF-34BAEC77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30B2"/>
    <w:pPr>
      <w:suppressAutoHyphens/>
      <w:spacing w:after="0" w:line="240" w:lineRule="auto"/>
    </w:pPr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paragraph" w:styleId="Cmsor1">
    <w:name w:val="heading 1"/>
    <w:basedOn w:val="Norml"/>
    <w:next w:val="Norml"/>
    <w:link w:val="Cmsor1Char"/>
    <w:qFormat/>
    <w:rsid w:val="00924C74"/>
    <w:pPr>
      <w:keepNext/>
      <w:keepLines/>
      <w:widowControl w:val="0"/>
      <w:suppressAutoHyphens w:val="0"/>
      <w:spacing w:before="240" w:after="60"/>
      <w:outlineLvl w:val="0"/>
    </w:pPr>
    <w:rPr>
      <w:rFonts w:ascii="Arial" w:eastAsia="SimSun" w:hAnsi="Arial" w:cs="Arial"/>
      <w:b/>
      <w:bCs/>
      <w:sz w:val="36"/>
      <w:szCs w:val="36"/>
      <w:lang w:bidi="ar-SA"/>
    </w:rPr>
  </w:style>
  <w:style w:type="paragraph" w:styleId="Cmsor2">
    <w:name w:val="heading 2"/>
    <w:basedOn w:val="Cmsor1"/>
    <w:next w:val="Norml"/>
    <w:link w:val="Cmsor2Char"/>
    <w:qFormat/>
    <w:rsid w:val="00924C74"/>
    <w:pPr>
      <w:outlineLvl w:val="1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924C74"/>
    <w:pPr>
      <w:keepNext/>
      <w:keepLines/>
      <w:spacing w:before="40"/>
      <w:outlineLvl w:val="6"/>
    </w:pPr>
    <w:rPr>
      <w:rFonts w:ascii="Calibri Light" w:eastAsia="Calibri Light" w:hAnsi="Calibri Light" w:cs="Times New Roman"/>
      <w:i/>
      <w:iCs/>
      <w:color w:val="333E55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430B2"/>
    <w:pPr>
      <w:spacing w:after="140" w:line="276" w:lineRule="auto"/>
    </w:pPr>
  </w:style>
  <w:style w:type="character" w:customStyle="1" w:styleId="SzvegtrzsChar">
    <w:name w:val="Szövegtörzs Char"/>
    <w:basedOn w:val="Bekezdsalapbettpusa"/>
    <w:link w:val="Szvegtrzs"/>
    <w:rsid w:val="003430B2"/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rsid w:val="00924C74"/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character" w:customStyle="1" w:styleId="Cmsor2Char">
    <w:name w:val="Címsor 2 Char"/>
    <w:basedOn w:val="Bekezdsalapbettpusa"/>
    <w:link w:val="Cmsor2"/>
    <w:rsid w:val="00924C74"/>
    <w:rPr>
      <w:rFonts w:ascii="Arial" w:eastAsia="SimSun" w:hAnsi="Arial" w:cs="Arial"/>
      <w:b/>
      <w:bCs/>
      <w:kern w:val="1"/>
      <w:sz w:val="32"/>
      <w:szCs w:val="32"/>
      <w:lang w:eastAsia="zh-CN"/>
    </w:rPr>
  </w:style>
  <w:style w:type="character" w:customStyle="1" w:styleId="Cmsor7Char">
    <w:name w:val="Címsor 7 Char"/>
    <w:basedOn w:val="Bekezdsalapbettpusa"/>
    <w:link w:val="Cmsor7"/>
    <w:rsid w:val="00924C74"/>
    <w:rPr>
      <w:rFonts w:ascii="Calibri Light" w:eastAsia="Calibri Light" w:hAnsi="Calibri Light" w:cs="Times New Roman"/>
      <w:i/>
      <w:iCs/>
      <w:color w:val="333E55"/>
      <w:kern w:val="1"/>
      <w:sz w:val="24"/>
      <w:szCs w:val="24"/>
      <w:lang w:eastAsia="zh-CN"/>
    </w:rPr>
  </w:style>
  <w:style w:type="paragraph" w:customStyle="1" w:styleId="FCm">
    <w:name w:val="FôCím"/>
    <w:basedOn w:val="Norml"/>
    <w:qFormat/>
    <w:rsid w:val="00924C74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Listaszerbekezds">
    <w:name w:val="List Paragraph"/>
    <w:basedOn w:val="Norml"/>
    <w:uiPriority w:val="34"/>
    <w:qFormat/>
    <w:rsid w:val="006B6219"/>
    <w:pPr>
      <w:ind w:left="720"/>
      <w:contextualSpacing/>
    </w:pPr>
    <w:rPr>
      <w:rFonts w:cs="Mangal"/>
      <w:szCs w:val="21"/>
    </w:rPr>
  </w:style>
  <w:style w:type="table" w:styleId="Rcsostblzat">
    <w:name w:val="Table Grid"/>
    <w:basedOn w:val="Normltblzat"/>
    <w:uiPriority w:val="39"/>
    <w:rsid w:val="00E2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642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2024-04-08T06:19:00Z</dcterms:created>
  <dcterms:modified xsi:type="dcterms:W3CDTF">2025-04-28T13:31:00Z</dcterms:modified>
</cp:coreProperties>
</file>