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128A4" w14:textId="77777777" w:rsidR="00635F90" w:rsidRPr="00635F90" w:rsidRDefault="00635F90" w:rsidP="00635F90">
      <w:pPr>
        <w:tabs>
          <w:tab w:val="left" w:pos="0"/>
        </w:tabs>
        <w:spacing w:after="200"/>
        <w:jc w:val="center"/>
        <w:rPr>
          <w:rFonts w:ascii="Garamond" w:eastAsia="Calibri" w:hAnsi="Garamond"/>
          <w:b/>
          <w:bCs/>
          <w:sz w:val="44"/>
          <w:szCs w:val="36"/>
          <w:lang w:eastAsia="en-US"/>
        </w:rPr>
      </w:pPr>
      <w:r w:rsidRPr="00635F90">
        <w:rPr>
          <w:rFonts w:ascii="Garamond" w:eastAsia="Calibri" w:hAnsi="Garamond"/>
          <w:b/>
          <w:bCs/>
          <w:sz w:val="44"/>
          <w:szCs w:val="36"/>
          <w:lang w:eastAsia="en-US"/>
        </w:rPr>
        <w:t>ELŐTERJESZTÉS</w:t>
      </w:r>
    </w:p>
    <w:p w14:paraId="6FC0F783" w14:textId="77777777" w:rsidR="00635F90" w:rsidRPr="00635F90" w:rsidRDefault="00635F90" w:rsidP="00635F90">
      <w:pPr>
        <w:tabs>
          <w:tab w:val="left" w:pos="0"/>
        </w:tabs>
        <w:spacing w:after="200"/>
        <w:jc w:val="center"/>
        <w:rPr>
          <w:rFonts w:ascii="Garamond" w:eastAsia="Calibri" w:hAnsi="Garamond"/>
          <w:b/>
          <w:bCs/>
          <w:sz w:val="44"/>
          <w:szCs w:val="36"/>
          <w:lang w:eastAsia="en-US"/>
        </w:rPr>
      </w:pPr>
      <w:r w:rsidRPr="00635F90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19050" distR="9525" wp14:anchorId="12FBBA75" wp14:editId="5E2CDC5D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457EC" w14:textId="77777777" w:rsidR="00635F90" w:rsidRPr="00635F90" w:rsidRDefault="00635F90" w:rsidP="00635F90">
      <w:pPr>
        <w:tabs>
          <w:tab w:val="left" w:pos="0"/>
        </w:tabs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14:paraId="4B0DD1F9" w14:textId="77777777" w:rsidR="00635F90" w:rsidRPr="00635F90" w:rsidRDefault="00635F90" w:rsidP="00635F90">
      <w:pPr>
        <w:tabs>
          <w:tab w:val="left" w:pos="0"/>
        </w:tabs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14:paraId="6C3D241B" w14:textId="77777777" w:rsidR="00635F90" w:rsidRPr="00635F90" w:rsidRDefault="00635F90" w:rsidP="00635F90">
      <w:pPr>
        <w:tabs>
          <w:tab w:val="left" w:pos="0"/>
        </w:tabs>
        <w:spacing w:line="360" w:lineRule="auto"/>
        <w:jc w:val="center"/>
        <w:rPr>
          <w:rFonts w:ascii="Garamond" w:eastAsia="Calibri" w:hAnsi="Garamond"/>
          <w:b/>
          <w:bCs/>
          <w:sz w:val="36"/>
          <w:szCs w:val="36"/>
          <w:lang w:eastAsia="en-US"/>
        </w:rPr>
      </w:pPr>
      <w:r w:rsidRPr="00635F90">
        <w:rPr>
          <w:rFonts w:ascii="Garamond" w:eastAsia="Calibri" w:hAnsi="Garamond"/>
          <w:b/>
          <w:bCs/>
          <w:sz w:val="36"/>
          <w:szCs w:val="36"/>
          <w:lang w:eastAsia="en-US"/>
        </w:rPr>
        <w:t xml:space="preserve">Balatonberény Község Önkormányzatának </w:t>
      </w:r>
    </w:p>
    <w:p w14:paraId="009F1A2C" w14:textId="77777777" w:rsidR="00635F90" w:rsidRPr="00635F90" w:rsidRDefault="00635F90" w:rsidP="00635F90">
      <w:pPr>
        <w:tabs>
          <w:tab w:val="left" w:pos="0"/>
        </w:tabs>
        <w:spacing w:line="360" w:lineRule="auto"/>
        <w:jc w:val="center"/>
        <w:rPr>
          <w:rFonts w:ascii="Garamond" w:eastAsia="Calibri" w:hAnsi="Garamond"/>
          <w:b/>
          <w:bCs/>
          <w:sz w:val="36"/>
          <w:szCs w:val="36"/>
          <w:lang w:eastAsia="en-US"/>
        </w:rPr>
      </w:pPr>
    </w:p>
    <w:p w14:paraId="72BBAEEC" w14:textId="387CA79D" w:rsidR="00635F90" w:rsidRPr="00635F90" w:rsidRDefault="00635F90" w:rsidP="00635F90">
      <w:pPr>
        <w:tabs>
          <w:tab w:val="left" w:pos="0"/>
        </w:tabs>
        <w:spacing w:line="360" w:lineRule="auto"/>
        <w:jc w:val="center"/>
        <w:rPr>
          <w:rFonts w:ascii="Garamond" w:eastAsia="Calibri" w:hAnsi="Garamond"/>
          <w:b/>
          <w:bCs/>
          <w:sz w:val="36"/>
          <w:szCs w:val="36"/>
          <w:lang w:eastAsia="en-US"/>
        </w:rPr>
      </w:pPr>
      <w:r w:rsidRPr="00635F90">
        <w:rPr>
          <w:rFonts w:ascii="Garamond" w:eastAsia="Calibri" w:hAnsi="Garamond"/>
          <w:b/>
          <w:bCs/>
          <w:sz w:val="36"/>
          <w:szCs w:val="36"/>
          <w:lang w:eastAsia="en-US"/>
        </w:rPr>
        <w:t xml:space="preserve">2025. </w:t>
      </w:r>
      <w:r w:rsidR="00A34E9E">
        <w:rPr>
          <w:rFonts w:ascii="Garamond" w:eastAsia="Calibri" w:hAnsi="Garamond"/>
          <w:b/>
          <w:bCs/>
          <w:sz w:val="36"/>
          <w:szCs w:val="36"/>
          <w:lang w:eastAsia="en-US"/>
        </w:rPr>
        <w:t>június 27</w:t>
      </w:r>
      <w:r w:rsidRPr="00635F90">
        <w:rPr>
          <w:rFonts w:ascii="Garamond" w:eastAsia="Calibri" w:hAnsi="Garamond"/>
          <w:b/>
          <w:bCs/>
          <w:sz w:val="36"/>
          <w:szCs w:val="36"/>
          <w:lang w:eastAsia="en-US"/>
        </w:rPr>
        <w:t>-i</w:t>
      </w:r>
    </w:p>
    <w:p w14:paraId="253282A2" w14:textId="77777777" w:rsidR="00635F90" w:rsidRPr="00635F90" w:rsidRDefault="00635F90" w:rsidP="00635F90">
      <w:pPr>
        <w:keepNext/>
        <w:tabs>
          <w:tab w:val="left" w:pos="0"/>
        </w:tabs>
        <w:spacing w:line="360" w:lineRule="auto"/>
        <w:jc w:val="center"/>
        <w:outlineLvl w:val="1"/>
        <w:rPr>
          <w:rFonts w:ascii="Garamond" w:hAnsi="Garamond"/>
          <w:b/>
          <w:i/>
          <w:iCs/>
          <w:sz w:val="36"/>
          <w:szCs w:val="36"/>
          <w:lang w:eastAsia="en-US"/>
        </w:rPr>
      </w:pPr>
      <w:r w:rsidRPr="00635F90">
        <w:rPr>
          <w:rFonts w:ascii="Garamond" w:hAnsi="Garamond"/>
          <w:b/>
          <w:bCs/>
          <w:sz w:val="36"/>
          <w:szCs w:val="36"/>
          <w:lang w:eastAsia="en-US"/>
        </w:rPr>
        <w:t xml:space="preserve">nyilvános képviselő-testületi </w:t>
      </w:r>
      <w:r w:rsidRPr="00635F90">
        <w:rPr>
          <w:rFonts w:ascii="Garamond" w:hAnsi="Garamond"/>
          <w:b/>
          <w:i/>
          <w:iCs/>
          <w:sz w:val="36"/>
          <w:szCs w:val="36"/>
          <w:lang w:eastAsia="en-US"/>
        </w:rPr>
        <w:t>ülésére</w:t>
      </w:r>
    </w:p>
    <w:p w14:paraId="1DCA3946" w14:textId="77777777" w:rsidR="00635F90" w:rsidRPr="00635F90" w:rsidRDefault="00635F90" w:rsidP="00635F90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14:paraId="720403A6" w14:textId="77777777" w:rsidR="00635F90" w:rsidRPr="00635F90" w:rsidRDefault="00635F90" w:rsidP="00635F90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14:paraId="4EEA8EB3" w14:textId="0E767860" w:rsidR="00635F90" w:rsidRDefault="00635F90" w:rsidP="00A947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jc w:val="both"/>
        <w:rPr>
          <w:rFonts w:ascii="Garamond" w:hAnsi="Garamond"/>
          <w:b/>
          <w:bCs/>
          <w:sz w:val="36"/>
          <w:szCs w:val="36"/>
          <w:lang w:val="x-none"/>
        </w:rPr>
      </w:pPr>
      <w:r w:rsidRPr="00635F90">
        <w:rPr>
          <w:rFonts w:ascii="Garamond" w:eastAsia="Calibri" w:hAnsi="Garamond"/>
          <w:b/>
          <w:bCs/>
          <w:sz w:val="36"/>
          <w:szCs w:val="22"/>
          <w:lang w:val="x-none" w:eastAsia="en-US"/>
        </w:rPr>
        <w:t>T</w:t>
      </w:r>
      <w:r w:rsidR="00A947FD">
        <w:rPr>
          <w:rFonts w:ascii="Garamond" w:eastAsia="Calibri" w:hAnsi="Garamond"/>
          <w:b/>
          <w:bCs/>
          <w:sz w:val="36"/>
          <w:szCs w:val="22"/>
          <w:lang w:val="x-none" w:eastAsia="en-US"/>
        </w:rPr>
        <w:t>árgy</w:t>
      </w:r>
      <w:r w:rsidRPr="00635F90">
        <w:rPr>
          <w:rFonts w:ascii="Garamond" w:eastAsia="Calibri" w:hAnsi="Garamond"/>
          <w:b/>
          <w:bCs/>
          <w:sz w:val="36"/>
          <w:szCs w:val="22"/>
          <w:lang w:val="x-none" w:eastAsia="en-US"/>
        </w:rPr>
        <w:t>:</w:t>
      </w:r>
      <w:r w:rsidR="00A947FD">
        <w:rPr>
          <w:rFonts w:ascii="Garamond" w:eastAsia="Calibri" w:hAnsi="Garamond"/>
          <w:b/>
          <w:bCs/>
          <w:sz w:val="36"/>
          <w:szCs w:val="22"/>
          <w:lang w:val="x-none" w:eastAsia="en-US"/>
        </w:rPr>
        <w:t xml:space="preserve">     </w:t>
      </w:r>
      <w:r w:rsidR="00A947FD" w:rsidRPr="00A947FD">
        <w:rPr>
          <w:rFonts w:ascii="Garamond" w:hAnsi="Garamond"/>
          <w:b/>
          <w:bCs/>
          <w:sz w:val="36"/>
          <w:szCs w:val="36"/>
          <w:lang w:val="x-none"/>
        </w:rPr>
        <w:t>A polgármester illetményének és költségtérítésének megállapítása</w:t>
      </w:r>
    </w:p>
    <w:p w14:paraId="65020C87" w14:textId="77777777" w:rsidR="00A947FD" w:rsidRPr="00635F90" w:rsidRDefault="00A947FD" w:rsidP="00A947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jc w:val="both"/>
        <w:rPr>
          <w:rFonts w:ascii="Garamond" w:eastAsia="Arial Unicode MS" w:hAnsi="Garamond"/>
          <w:b/>
          <w:bCs/>
          <w:sz w:val="36"/>
          <w:szCs w:val="36"/>
          <w:lang w:val="x-none" w:eastAsia="en-US"/>
        </w:rPr>
      </w:pPr>
    </w:p>
    <w:p w14:paraId="17713981" w14:textId="356916C3" w:rsidR="00635F90" w:rsidRPr="00813356" w:rsidRDefault="00A34E9E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jc w:val="both"/>
        <w:rPr>
          <w:rFonts w:ascii="Garamond" w:eastAsia="Arial Unicode MS" w:hAnsi="Garamond"/>
          <w:b/>
          <w:bCs/>
          <w:sz w:val="36"/>
          <w:szCs w:val="22"/>
          <w:lang w:eastAsia="en-US"/>
        </w:rPr>
      </w:pPr>
      <w:r w:rsidRPr="00635F90">
        <w:rPr>
          <w:rFonts w:ascii="Garamond" w:eastAsia="Arial Unicode MS" w:hAnsi="Garamond"/>
          <w:b/>
          <w:bCs/>
          <w:sz w:val="36"/>
          <w:szCs w:val="22"/>
          <w:lang w:eastAsia="en-US"/>
        </w:rPr>
        <w:t>Előterjesztő:</w:t>
      </w:r>
      <w:r w:rsidR="00635F90" w:rsidRPr="00635F90">
        <w:rPr>
          <w:rFonts w:ascii="Garamond" w:eastAsia="Arial Unicode MS" w:hAnsi="Garamond"/>
          <w:b/>
          <w:bCs/>
          <w:sz w:val="36"/>
          <w:szCs w:val="22"/>
          <w:lang w:eastAsia="en-US"/>
        </w:rPr>
        <w:tab/>
        <w:t xml:space="preserve"> </w:t>
      </w:r>
      <w:r w:rsidR="00A947FD">
        <w:rPr>
          <w:rFonts w:ascii="Garamond" w:eastAsia="Arial Unicode MS" w:hAnsi="Garamond"/>
          <w:b/>
          <w:bCs/>
          <w:sz w:val="36"/>
          <w:szCs w:val="22"/>
          <w:lang w:eastAsia="en-US"/>
        </w:rPr>
        <w:t xml:space="preserve">Takácsné dr. Simán Zsuzsanna </w:t>
      </w:r>
      <w:r w:rsidR="00A947FD" w:rsidRPr="00813356">
        <w:rPr>
          <w:rFonts w:ascii="Garamond" w:eastAsia="Arial Unicode MS" w:hAnsi="Garamond"/>
          <w:b/>
          <w:sz w:val="36"/>
          <w:szCs w:val="22"/>
          <w:lang w:eastAsia="en-US"/>
        </w:rPr>
        <w:t>jegyző</w:t>
      </w:r>
    </w:p>
    <w:p w14:paraId="6DB7C07C" w14:textId="3198EF6B"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jc w:val="both"/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</w:pPr>
      <w:r w:rsidRPr="00635F90">
        <w:rPr>
          <w:rFonts w:ascii="Garamond" w:eastAsia="Calibri" w:hAnsi="Garamond"/>
          <w:b/>
          <w:bCs/>
          <w:sz w:val="36"/>
          <w:szCs w:val="22"/>
          <w:lang w:eastAsia="en-US"/>
        </w:rPr>
        <w:t xml:space="preserve">Készítette: </w:t>
      </w:r>
      <w:r w:rsidRPr="00635F90">
        <w:rPr>
          <w:rFonts w:ascii="Garamond" w:eastAsia="Calibri" w:hAnsi="Garamond"/>
          <w:b/>
          <w:bCs/>
          <w:sz w:val="36"/>
          <w:szCs w:val="22"/>
          <w:lang w:eastAsia="en-US"/>
        </w:rPr>
        <w:tab/>
      </w:r>
      <w:r w:rsidR="00813356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>dr. Hamzsa Andrea jogi-titkársági főtanácsos</w:t>
      </w:r>
    </w:p>
    <w:p w14:paraId="3D603ED9" w14:textId="4D0D11A7"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jc w:val="both"/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</w:pP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ab/>
      </w: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ab/>
      </w: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ab/>
      </w:r>
    </w:p>
    <w:p w14:paraId="3057D097" w14:textId="77777777"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14:paraId="33EA0ED1" w14:textId="77777777"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14:paraId="35473939" w14:textId="77777777"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14:paraId="086B1C9F" w14:textId="77777777"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14:paraId="1035BC3B" w14:textId="77777777"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26C1D60C" w14:textId="77777777" w:rsidR="00A947FD" w:rsidRDefault="00A947FD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4EF7AD2C" w14:textId="77777777" w:rsidR="00A947FD" w:rsidRDefault="00A947FD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44D8B3CE" w14:textId="77777777" w:rsidR="00A947FD" w:rsidRDefault="00A947FD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7882ED4F" w14:textId="77777777"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51D6F3A6" w14:textId="77777777" w:rsidR="00635F90" w:rsidRDefault="00635F90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14:paraId="3E4DFC33" w14:textId="77777777" w:rsidR="00184DCC" w:rsidRPr="00184DCC" w:rsidRDefault="00184DCC" w:rsidP="00184DCC">
      <w:pPr>
        <w:tabs>
          <w:tab w:val="right" w:pos="9000"/>
        </w:tabs>
        <w:jc w:val="both"/>
        <w:rPr>
          <w:rFonts w:ascii="Garamond" w:eastAsia="Calibri" w:hAnsi="Garamond"/>
          <w:b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lastRenderedPageBreak/>
        <w:t xml:space="preserve">Előterjesztő: </w:t>
      </w:r>
      <w:r w:rsidRPr="00184DCC">
        <w:rPr>
          <w:rFonts w:ascii="Garamond" w:eastAsia="Calibri" w:hAnsi="Garamond"/>
          <w:b/>
          <w:i/>
          <w:lang w:eastAsia="en-US"/>
        </w:rPr>
        <w:tab/>
        <w:t>Druskoczi Tünde polgármester</w:t>
      </w:r>
    </w:p>
    <w:p w14:paraId="50D102A6" w14:textId="77777777" w:rsidR="00184DCC" w:rsidRPr="00184DCC" w:rsidRDefault="00184DCC" w:rsidP="00184DCC">
      <w:pPr>
        <w:tabs>
          <w:tab w:val="right" w:pos="9000"/>
        </w:tabs>
        <w:rPr>
          <w:rFonts w:ascii="Garamond" w:eastAsia="Calibri" w:hAnsi="Garamond"/>
          <w:b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napirendet tárgyaló ülés típusa-1:</w:t>
      </w:r>
      <w:r w:rsidRPr="00184DCC">
        <w:rPr>
          <w:rFonts w:ascii="Garamond" w:eastAsia="Calibri" w:hAnsi="Garamond"/>
          <w:i/>
          <w:lang w:eastAsia="en-US"/>
        </w:rPr>
        <w:tab/>
      </w:r>
      <w:r w:rsidRPr="00184DCC">
        <w:rPr>
          <w:rFonts w:ascii="Garamond" w:eastAsia="Calibri" w:hAnsi="Garamond"/>
          <w:b/>
          <w:i/>
          <w:u w:val="single"/>
          <w:lang w:eastAsia="en-US"/>
        </w:rPr>
        <w:t xml:space="preserve">nyílt </w:t>
      </w:r>
      <w:r w:rsidRPr="00184DCC">
        <w:rPr>
          <w:rFonts w:ascii="Garamond" w:eastAsia="Calibri" w:hAnsi="Garamond"/>
          <w:b/>
          <w:i/>
          <w:lang w:eastAsia="en-US"/>
        </w:rPr>
        <w:t>/</w:t>
      </w:r>
      <w:r w:rsidRPr="00184DCC">
        <w:rPr>
          <w:rFonts w:ascii="Garamond" w:eastAsia="Calibri" w:hAnsi="Garamond"/>
          <w:i/>
          <w:lang w:eastAsia="en-US"/>
        </w:rPr>
        <w:t xml:space="preserve"> zárt</w:t>
      </w:r>
    </w:p>
    <w:p w14:paraId="7D5F7723" w14:textId="77777777" w:rsidR="00184DCC" w:rsidRPr="00184DCC" w:rsidRDefault="00184DCC" w:rsidP="00184DCC">
      <w:pPr>
        <w:tabs>
          <w:tab w:val="right" w:pos="9000"/>
        </w:tabs>
        <w:rPr>
          <w:rFonts w:ascii="Garamond" w:eastAsia="Calibri" w:hAnsi="Garamond"/>
          <w:b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napirendet tárgyaló ülés típusa-2</w:t>
      </w:r>
      <w:r w:rsidRPr="00184DCC">
        <w:rPr>
          <w:rFonts w:ascii="Garamond" w:eastAsia="Calibri" w:hAnsi="Garamond"/>
          <w:b/>
          <w:i/>
          <w:lang w:eastAsia="en-US"/>
        </w:rPr>
        <w:tab/>
      </w:r>
      <w:r w:rsidRPr="00184DCC">
        <w:rPr>
          <w:rFonts w:ascii="Garamond" w:eastAsia="Calibri" w:hAnsi="Garamond"/>
          <w:b/>
          <w:bCs/>
          <w:i/>
          <w:u w:val="single"/>
          <w:lang w:eastAsia="en-US"/>
        </w:rPr>
        <w:t>rendes</w:t>
      </w:r>
      <w:r w:rsidRPr="00184DCC">
        <w:rPr>
          <w:rFonts w:ascii="Garamond" w:eastAsia="Calibri" w:hAnsi="Garamond"/>
          <w:i/>
          <w:lang w:eastAsia="en-US"/>
        </w:rPr>
        <w:t xml:space="preserve"> / rendkívüli</w:t>
      </w:r>
    </w:p>
    <w:p w14:paraId="526A7BF0" w14:textId="7D9845CA" w:rsidR="00184DCC" w:rsidRPr="00184DCC" w:rsidRDefault="00512B3A" w:rsidP="00184DCC">
      <w:pPr>
        <w:tabs>
          <w:tab w:val="right" w:pos="9000"/>
        </w:tabs>
        <w:rPr>
          <w:rFonts w:ascii="Garamond" w:eastAsia="Calibri" w:hAnsi="Garamond"/>
          <w:b/>
          <w:i/>
          <w:u w:val="single"/>
          <w:lang w:eastAsia="en-US"/>
        </w:rPr>
      </w:pPr>
      <w:r>
        <w:rPr>
          <w:rFonts w:ascii="Garamond" w:eastAsia="Calibri" w:hAnsi="Garamond"/>
          <w:b/>
          <w:i/>
          <w:lang w:eastAsia="en-US"/>
        </w:rPr>
        <w:t>A határozat</w:t>
      </w:r>
      <w:r w:rsidR="00184DCC" w:rsidRPr="00184DCC">
        <w:rPr>
          <w:rFonts w:ascii="Garamond" w:eastAsia="Calibri" w:hAnsi="Garamond"/>
          <w:b/>
          <w:i/>
          <w:lang w:eastAsia="en-US"/>
        </w:rPr>
        <w:t xml:space="preserve"> elfogadásához szükséges többség típusa:</w:t>
      </w:r>
      <w:r w:rsidR="00184DCC" w:rsidRPr="00184DCC">
        <w:rPr>
          <w:rFonts w:ascii="Garamond" w:eastAsia="Calibri" w:hAnsi="Garamond"/>
          <w:i/>
          <w:lang w:eastAsia="en-US"/>
        </w:rPr>
        <w:tab/>
      </w:r>
      <w:r w:rsidR="00184DCC" w:rsidRPr="00A947FD">
        <w:rPr>
          <w:rFonts w:ascii="Garamond" w:eastAsia="Calibri" w:hAnsi="Garamond"/>
          <w:b/>
          <w:i/>
          <w:u w:val="single"/>
          <w:lang w:eastAsia="en-US"/>
        </w:rPr>
        <w:t xml:space="preserve">egyszerű </w:t>
      </w:r>
      <w:r w:rsidR="00184DCC" w:rsidRPr="00184DCC">
        <w:rPr>
          <w:rFonts w:ascii="Garamond" w:eastAsia="Calibri" w:hAnsi="Garamond"/>
          <w:i/>
          <w:lang w:eastAsia="en-US"/>
        </w:rPr>
        <w:t xml:space="preserve">/ </w:t>
      </w:r>
      <w:r w:rsidR="00184DCC" w:rsidRPr="00A947FD">
        <w:rPr>
          <w:rFonts w:ascii="Garamond" w:eastAsia="Calibri" w:hAnsi="Garamond"/>
          <w:bCs/>
          <w:i/>
          <w:lang w:eastAsia="en-US"/>
        </w:rPr>
        <w:t>minősített</w:t>
      </w:r>
    </w:p>
    <w:p w14:paraId="5A219AB3" w14:textId="77777777" w:rsidR="00184DCC" w:rsidRPr="00184DCC" w:rsidRDefault="00184DCC" w:rsidP="00184DCC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szavazás módja:</w:t>
      </w:r>
      <w:r w:rsidRPr="00184DCC">
        <w:rPr>
          <w:rFonts w:ascii="Garamond" w:eastAsia="Calibri" w:hAnsi="Garamond"/>
          <w:i/>
          <w:lang w:eastAsia="en-US"/>
        </w:rPr>
        <w:tab/>
      </w:r>
      <w:r w:rsidRPr="00184DCC">
        <w:rPr>
          <w:rFonts w:ascii="Garamond" w:eastAsia="Calibri" w:hAnsi="Garamond"/>
          <w:b/>
          <w:i/>
          <w:u w:val="single"/>
          <w:lang w:eastAsia="en-US"/>
        </w:rPr>
        <w:t xml:space="preserve">nyílt </w:t>
      </w:r>
      <w:r w:rsidRPr="00184DCC">
        <w:rPr>
          <w:rFonts w:ascii="Garamond" w:eastAsia="Calibri" w:hAnsi="Garamond"/>
          <w:i/>
          <w:lang w:eastAsia="en-US"/>
        </w:rPr>
        <w:t>/ titkos</w:t>
      </w:r>
    </w:p>
    <w:p w14:paraId="5638B02C" w14:textId="77777777" w:rsidR="0021077E" w:rsidRPr="00A947FD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  <w:r w:rsidRPr="00A947FD">
        <w:rPr>
          <w:rFonts w:ascii="Century Gothic" w:hAnsi="Century Gothic" w:cs="Calibri Light"/>
          <w:b/>
          <w:sz w:val="22"/>
          <w:szCs w:val="22"/>
        </w:rPr>
        <w:t>Tisztelt Képviselő-testület!</w:t>
      </w:r>
    </w:p>
    <w:p w14:paraId="10FC5A7C" w14:textId="77777777" w:rsidR="00A947FD" w:rsidRPr="00A947FD" w:rsidRDefault="00A947FD" w:rsidP="00A947FD">
      <w:pPr>
        <w:ind w:right="-567"/>
        <w:jc w:val="both"/>
        <w:rPr>
          <w:rFonts w:ascii="Century Gothic" w:eastAsia="Calibri" w:hAnsi="Century Gothic"/>
          <w:b/>
          <w:bCs/>
          <w:sz w:val="22"/>
          <w:szCs w:val="22"/>
          <w:u w:val="single"/>
          <w:lang w:eastAsia="en-US"/>
        </w:rPr>
      </w:pPr>
    </w:p>
    <w:p w14:paraId="3C27FB92" w14:textId="6AF575FE" w:rsidR="00A947FD" w:rsidRPr="00A947FD" w:rsidRDefault="00A947FD" w:rsidP="00A947FD">
      <w:pPr>
        <w:ind w:left="900" w:hanging="900"/>
        <w:jc w:val="both"/>
        <w:rPr>
          <w:rFonts w:ascii="Century Gothic" w:eastAsia="Calibri" w:hAnsi="Century Gothic"/>
          <w:bCs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b/>
          <w:bCs/>
          <w:sz w:val="22"/>
          <w:szCs w:val="22"/>
          <w:u w:val="single"/>
          <w:lang w:eastAsia="en-US"/>
        </w:rPr>
        <w:t>Készült</w:t>
      </w:r>
      <w:r w:rsidR="00512B3A">
        <w:rPr>
          <w:rFonts w:ascii="Century Gothic" w:eastAsia="Calibri" w:hAnsi="Century Gothic"/>
          <w:bCs/>
          <w:sz w:val="22"/>
          <w:szCs w:val="22"/>
          <w:lang w:eastAsia="en-US"/>
        </w:rPr>
        <w:t>:</w:t>
      </w:r>
      <w:r w:rsidR="00512B3A">
        <w:rPr>
          <w:rFonts w:ascii="Century Gothic" w:eastAsia="Calibri" w:hAnsi="Century Gothic"/>
          <w:bCs/>
          <w:sz w:val="22"/>
          <w:szCs w:val="22"/>
          <w:lang w:eastAsia="en-US"/>
        </w:rPr>
        <w:tab/>
        <w:t>Balatonberény</w:t>
      </w:r>
      <w:r w:rsidRPr="00A947FD"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 Község Önkormányzat Képvis</w:t>
      </w:r>
      <w:r w:rsidR="00512B3A">
        <w:rPr>
          <w:rFonts w:ascii="Century Gothic" w:eastAsia="Calibri" w:hAnsi="Century Gothic"/>
          <w:bCs/>
          <w:sz w:val="22"/>
          <w:szCs w:val="22"/>
          <w:lang w:eastAsia="en-US"/>
        </w:rPr>
        <w:t>elő-testületének 2025. június 27-i</w:t>
      </w:r>
      <w:r w:rsidRPr="00A947FD"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 nyilvános testületi ülésére</w:t>
      </w:r>
    </w:p>
    <w:p w14:paraId="64EAF68A" w14:textId="77777777" w:rsidR="00A947FD" w:rsidRPr="00A947FD" w:rsidRDefault="00A947FD" w:rsidP="00A947FD">
      <w:pPr>
        <w:ind w:left="900" w:hanging="900"/>
        <w:jc w:val="both"/>
        <w:rPr>
          <w:rFonts w:ascii="Century Gothic" w:eastAsia="Calibri" w:hAnsi="Century Gothic"/>
          <w:bCs/>
          <w:sz w:val="22"/>
          <w:szCs w:val="22"/>
          <w:lang w:eastAsia="en-US"/>
        </w:rPr>
      </w:pPr>
    </w:p>
    <w:p w14:paraId="2500F88E" w14:textId="77777777" w:rsidR="00A947FD" w:rsidRPr="00A947FD" w:rsidRDefault="00A947FD" w:rsidP="00A947FD">
      <w:pPr>
        <w:jc w:val="both"/>
        <w:rPr>
          <w:rFonts w:ascii="Century Gothic" w:eastAsia="Arial Unicode MS" w:hAnsi="Century Gothic"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b/>
          <w:bCs/>
          <w:sz w:val="22"/>
          <w:szCs w:val="22"/>
          <w:u w:val="single"/>
          <w:lang w:eastAsia="en-US"/>
        </w:rPr>
        <w:t>Tárgy</w:t>
      </w:r>
      <w:r w:rsidRPr="00A947FD"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: </w:t>
      </w:r>
      <w:r w:rsidRPr="00A947FD">
        <w:rPr>
          <w:rFonts w:ascii="Century Gothic" w:eastAsia="Calibri" w:hAnsi="Century Gothic"/>
          <w:bCs/>
          <w:sz w:val="22"/>
          <w:szCs w:val="22"/>
          <w:lang w:eastAsia="en-US"/>
        </w:rPr>
        <w:tab/>
        <w:t xml:space="preserve">   A polgármester illetményének és költségtérítésének megállapítása</w:t>
      </w:r>
    </w:p>
    <w:p w14:paraId="314C330F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/>
          <w:b/>
          <w:bCs/>
          <w:sz w:val="22"/>
          <w:szCs w:val="22"/>
          <w:lang w:eastAsia="en-US"/>
        </w:rPr>
      </w:pPr>
    </w:p>
    <w:p w14:paraId="534F8743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rPr>
          <w:rFonts w:ascii="Century Gothic" w:eastAsia="Calibri" w:hAnsi="Century Gothic"/>
          <w:b/>
          <w:bCs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b/>
          <w:bCs/>
          <w:sz w:val="22"/>
          <w:szCs w:val="22"/>
          <w:lang w:eastAsia="en-US"/>
        </w:rPr>
        <w:t>Tisztelt Képviselő-testület!</w:t>
      </w:r>
    </w:p>
    <w:p w14:paraId="2D04F3C0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14:paraId="3207E17F" w14:textId="77777777" w:rsidR="00A947FD" w:rsidRPr="00A947FD" w:rsidRDefault="00A947FD" w:rsidP="00A947FD">
      <w:pPr>
        <w:spacing w:after="200" w:line="276" w:lineRule="auto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Magyarország helyi önkormányzatairól szóló 2011. évi CLXXXIX. törvény (a továbbiakban: Mötv.) 71. §-a tartalmazza a polgármesteri tisztséget betöltők díjazását. </w:t>
      </w:r>
    </w:p>
    <w:p w14:paraId="73628952" w14:textId="24E6AF97" w:rsidR="00A947FD" w:rsidRDefault="00A947FD" w:rsidP="00A947FD">
      <w:pPr>
        <w:spacing w:after="200" w:line="276" w:lineRule="auto"/>
        <w:jc w:val="both"/>
        <w:rPr>
          <w:rFonts w:ascii="Century Gothic" w:eastAsia="Calibri" w:hAnsi="Century Gothic"/>
          <w:b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Az Mötv. 71. §-a (4a) alapján a polgármester illetményének számításánál a tárgyévet megelőző évnek a január-decemberre, a teljes munkaidőben alkalmazásban állók bruttó átlagkeresetére a legalább 5 főt foglalkoztató vállalkozásoknál, a költségvetési intézményeknél és a foglalkoztatás szempontjából jelentős nonprofit szervezeteknél a </w:t>
      </w:r>
      <w:r w:rsidRPr="00711099">
        <w:rPr>
          <w:rFonts w:ascii="Century Gothic" w:eastAsia="Calibri" w:hAnsi="Century Gothic"/>
          <w:b/>
          <w:sz w:val="22"/>
          <w:szCs w:val="22"/>
          <w:lang w:eastAsia="en-US"/>
        </w:rPr>
        <w:t>Központi Statisztikai Hivatal által meghatározott nemzetgazdasági átlagkeresetet kell alapul venni.</w:t>
      </w:r>
    </w:p>
    <w:p w14:paraId="6894F4F7" w14:textId="77777777" w:rsidR="00813356" w:rsidRPr="00813356" w:rsidRDefault="00813356" w:rsidP="00813356">
      <w:pPr>
        <w:spacing w:after="200" w:line="276" w:lineRule="auto"/>
        <w:jc w:val="both"/>
        <w:rPr>
          <w:rFonts w:ascii="Century Gothic" w:eastAsia="Calibri" w:hAnsi="Century Gothic"/>
          <w:b/>
          <w:sz w:val="22"/>
          <w:szCs w:val="22"/>
          <w:lang w:eastAsia="en-US"/>
        </w:rPr>
      </w:pPr>
      <w:r w:rsidRPr="00813356">
        <w:rPr>
          <w:rFonts w:ascii="Century Gothic" w:eastAsia="Calibri" w:hAnsi="Century Gothic"/>
          <w:b/>
          <w:sz w:val="22"/>
          <w:szCs w:val="22"/>
          <w:lang w:eastAsia="en-US"/>
        </w:rPr>
        <w:t>A nemzetgazdasági átlagkereset alapján számított illetményre a polgármester a tárgyév július 1-jétől jogosult.</w:t>
      </w:r>
    </w:p>
    <w:p w14:paraId="263AF3DF" w14:textId="463C0EC4" w:rsidR="00A947FD" w:rsidRPr="00301CB7" w:rsidRDefault="00A947FD" w:rsidP="00A947FD">
      <w:pPr>
        <w:spacing w:after="200" w:line="276" w:lineRule="auto"/>
        <w:jc w:val="both"/>
        <w:rPr>
          <w:rFonts w:ascii="Century Gothic" w:eastAsia="Calibri" w:hAnsi="Century Gothic"/>
          <w:b/>
          <w:sz w:val="22"/>
          <w:szCs w:val="22"/>
          <w:lang w:eastAsia="en-US"/>
        </w:rPr>
      </w:pPr>
      <w:bookmarkStart w:id="0" w:name="_GoBack"/>
      <w:bookmarkEnd w:id="0"/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A Központi Statisztikai Hivatal (a továbbiakban: KSH) által a Hivatalos Értesítő 2025. évi 11. számában hivatalos közzétett, a teljes munkaidőben állók bruttó átlagkeresete a legalább 5 főt foglalkoztató vállalkozásoknál, a költségvetési intézményeknél és a foglalkoztatás szempontjából jelentős nonprofit szervezeteknél </w:t>
      </w:r>
      <w:r w:rsidRPr="00301CB7">
        <w:rPr>
          <w:rFonts w:ascii="Century Gothic" w:eastAsia="Calibri" w:hAnsi="Century Gothic"/>
          <w:b/>
          <w:sz w:val="22"/>
          <w:szCs w:val="22"/>
          <w:lang w:eastAsia="en-US"/>
        </w:rPr>
        <w:t xml:space="preserve">2024. január – december között </w:t>
      </w:r>
      <w:r w:rsidRPr="00711099">
        <w:rPr>
          <w:rFonts w:ascii="Century Gothic" w:eastAsia="Calibri" w:hAnsi="Century Gothic"/>
          <w:b/>
          <w:sz w:val="22"/>
          <w:szCs w:val="22"/>
          <w:u w:val="single"/>
          <w:lang w:eastAsia="en-US"/>
        </w:rPr>
        <w:t>667.365.-</w:t>
      </w:r>
      <w:r w:rsidRPr="00301CB7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forint volt. </w:t>
      </w:r>
    </w:p>
    <w:p w14:paraId="3EAA66D6" w14:textId="77777777" w:rsidR="00A947FD" w:rsidRPr="00A947FD" w:rsidRDefault="00A947FD" w:rsidP="00A947FD">
      <w:pPr>
        <w:spacing w:after="200" w:line="276" w:lineRule="auto"/>
        <w:jc w:val="both"/>
        <w:rPr>
          <w:rFonts w:ascii="Century Gothic" w:eastAsia="Calibri" w:hAnsi="Century Gothic"/>
          <w:b/>
          <w:bCs/>
          <w:sz w:val="22"/>
          <w:szCs w:val="22"/>
          <w:lang w:eastAsia="en-US"/>
        </w:rPr>
      </w:pPr>
      <w:r w:rsidRPr="00711099">
        <w:rPr>
          <w:rFonts w:ascii="Century Gothic" w:eastAsia="Calibri" w:hAnsi="Century Gothic"/>
          <w:bCs/>
          <w:sz w:val="22"/>
          <w:szCs w:val="22"/>
          <w:lang w:eastAsia="en-US"/>
        </w:rPr>
        <w:t>Az Mötv. 71. § (4) bekezdésének b)-c) pontja alapján a polgármester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 megbízatásának időtartamára havonta</w:t>
      </w:r>
    </w:p>
    <w:p w14:paraId="2A37FBC1" w14:textId="77777777" w:rsidR="00A947FD" w:rsidRPr="00A947FD" w:rsidRDefault="00A947FD" w:rsidP="00A947FD">
      <w:pPr>
        <w:spacing w:after="200" w:line="276" w:lineRule="auto"/>
        <w:jc w:val="both"/>
        <w:rPr>
          <w:rFonts w:ascii="Century Gothic" w:eastAsia="Calibri" w:hAnsi="Century Gothic"/>
          <w:b/>
          <w:bCs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b/>
          <w:bCs/>
          <w:sz w:val="22"/>
          <w:szCs w:val="22"/>
          <w:lang w:eastAsia="en-US"/>
        </w:rPr>
        <w:t xml:space="preserve"> az 501–1500 fő közötti lakosságszámú település esetében a nemzetgazdasági átlagkereset 1,75-szeresének;</w:t>
      </w:r>
    </w:p>
    <w:p w14:paraId="40C1F70D" w14:textId="599355AB" w:rsidR="00A947FD" w:rsidRPr="00813356" w:rsidRDefault="00A947FD" w:rsidP="00A947FD">
      <w:pPr>
        <w:spacing w:after="200" w:line="276" w:lineRule="auto"/>
        <w:jc w:val="both"/>
        <w:rPr>
          <w:rFonts w:ascii="Century Gothic" w:eastAsia="Calibri" w:hAnsi="Century Gothic"/>
          <w:b/>
          <w:bCs/>
          <w:sz w:val="22"/>
          <w:szCs w:val="22"/>
          <w:lang w:eastAsia="en-US"/>
        </w:rPr>
      </w:pPr>
      <w:proofErr w:type="gramStart"/>
      <w:r w:rsidRPr="00711099">
        <w:rPr>
          <w:rFonts w:ascii="Century Gothic" w:eastAsia="Calibri" w:hAnsi="Century Gothic"/>
          <w:bCs/>
          <w:sz w:val="22"/>
          <w:szCs w:val="22"/>
          <w:lang w:eastAsia="en-US"/>
        </w:rPr>
        <w:t>az</w:t>
      </w:r>
      <w:proofErr w:type="gramEnd"/>
      <w:r w:rsidRPr="00711099"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 1501–2000 fő közötti lakosságszámú település esetében a nemzetgazdasági átlagkereset kétszeresének </w:t>
      </w:r>
      <w:r w:rsidRPr="00813356">
        <w:rPr>
          <w:rFonts w:ascii="Century Gothic" w:eastAsia="Calibri" w:hAnsi="Century Gothic"/>
          <w:b/>
          <w:bCs/>
          <w:sz w:val="22"/>
          <w:szCs w:val="22"/>
          <w:lang w:eastAsia="en-US"/>
        </w:rPr>
        <w:t>megfelelő összegű illetményre jogosult.</w:t>
      </w:r>
    </w:p>
    <w:p w14:paraId="044A6228" w14:textId="108FA607" w:rsidR="00301CB7" w:rsidRDefault="00301CB7" w:rsidP="00A947FD">
      <w:pPr>
        <w:spacing w:after="200" w:line="276" w:lineRule="auto"/>
        <w:jc w:val="both"/>
        <w:rPr>
          <w:rFonts w:ascii="Century Gothic" w:eastAsia="Calibri" w:hAnsi="Century Gothic"/>
          <w:bCs/>
          <w:sz w:val="22"/>
          <w:szCs w:val="22"/>
          <w:lang w:eastAsia="en-US"/>
        </w:rPr>
      </w:pPr>
      <w:r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Az </w:t>
      </w:r>
      <w:proofErr w:type="spellStart"/>
      <w:r>
        <w:rPr>
          <w:rFonts w:ascii="Century Gothic" w:eastAsia="Calibri" w:hAnsi="Century Gothic"/>
          <w:bCs/>
          <w:sz w:val="22"/>
          <w:szCs w:val="22"/>
          <w:lang w:eastAsia="en-US"/>
        </w:rPr>
        <w:t>Mötv</w:t>
      </w:r>
      <w:proofErr w:type="spellEnd"/>
      <w:r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. 146. § (3) bekezdése értelmében a 11. § (2) b) pontja, 90. § (2) bekezdése, 98. § (8) és (11) bekezdése alkalmazása során a költségvetési törvényben meghatározott lakosságszám az irányadó, egyéb esetekben a helyi önkormányzati </w:t>
      </w:r>
      <w:r>
        <w:rPr>
          <w:rFonts w:ascii="Century Gothic" w:eastAsia="Calibri" w:hAnsi="Century Gothic"/>
          <w:bCs/>
          <w:sz w:val="22"/>
          <w:szCs w:val="22"/>
          <w:lang w:eastAsia="en-US"/>
        </w:rPr>
        <w:lastRenderedPageBreak/>
        <w:t xml:space="preserve">képviselők és polgármesterek választásáról szóló törvényben meghatározott lakosságszámot és időpontot kell figyelembe venni. </w:t>
      </w:r>
    </w:p>
    <w:p w14:paraId="71E12698" w14:textId="7EC673E6" w:rsidR="00301CB7" w:rsidRPr="00711099" w:rsidRDefault="00301CB7" w:rsidP="00A947FD">
      <w:pPr>
        <w:spacing w:after="200" w:line="276" w:lineRule="auto"/>
        <w:jc w:val="both"/>
        <w:rPr>
          <w:rFonts w:ascii="Century Gothic" w:eastAsia="Calibri" w:hAnsi="Century Gothic"/>
          <w:b/>
          <w:bCs/>
          <w:sz w:val="22"/>
          <w:szCs w:val="22"/>
          <w:lang w:eastAsia="en-US"/>
        </w:rPr>
      </w:pPr>
      <w:r>
        <w:rPr>
          <w:rFonts w:ascii="Century Gothic" w:eastAsia="Calibri" w:hAnsi="Century Gothic"/>
          <w:bCs/>
          <w:sz w:val="22"/>
          <w:szCs w:val="22"/>
          <w:lang w:eastAsia="en-US"/>
        </w:rPr>
        <w:t>A helyi önkormányzati képviselők és polgármesterek választásáról szóló 2010. évi L. törvény 3. §-</w:t>
      </w:r>
      <w:proofErr w:type="gramStart"/>
      <w:r>
        <w:rPr>
          <w:rFonts w:ascii="Century Gothic" w:eastAsia="Calibri" w:hAnsi="Century Gothic"/>
          <w:bCs/>
          <w:sz w:val="22"/>
          <w:szCs w:val="22"/>
          <w:lang w:eastAsia="en-US"/>
        </w:rPr>
        <w:t>a</w:t>
      </w:r>
      <w:proofErr w:type="gramEnd"/>
      <w:r>
        <w:rPr>
          <w:rFonts w:ascii="Century Gothic" w:eastAsia="Calibri" w:hAnsi="Century Gothic"/>
          <w:bCs/>
          <w:sz w:val="22"/>
          <w:szCs w:val="22"/>
          <w:lang w:eastAsia="en-US"/>
        </w:rPr>
        <w:t xml:space="preserve"> alapján a települési önkormányzat képviselő-testülete és a vármegyei közgyűlés tagjainak számát a helyi önkormányzati képviselők és polgármesterek </w:t>
      </w:r>
      <w:r w:rsidRPr="00711099">
        <w:rPr>
          <w:rFonts w:ascii="Century Gothic" w:eastAsia="Calibri" w:hAnsi="Century Gothic"/>
          <w:b/>
          <w:bCs/>
          <w:sz w:val="22"/>
          <w:szCs w:val="22"/>
          <w:lang w:eastAsia="en-US"/>
        </w:rPr>
        <w:t xml:space="preserve">általános választását megelőző év szeptember 1-jei lakosságszáma alapján kell meghatározni. </w:t>
      </w:r>
    </w:p>
    <w:p w14:paraId="6C2F82B0" w14:textId="6EDE6FF6" w:rsidR="00A947FD" w:rsidRPr="00A947FD" w:rsidRDefault="00A947FD" w:rsidP="00A947FD">
      <w:pPr>
        <w:spacing w:after="200" w:line="276" w:lineRule="auto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 w:rsidRPr="00711099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Balatonberény esetében a </w:t>
      </w:r>
      <w:r w:rsidR="00301CB7" w:rsidRPr="00711099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2024. évi általános választást megelőző év, azaz </w:t>
      </w:r>
      <w:r w:rsidRPr="00711099">
        <w:rPr>
          <w:rFonts w:ascii="Century Gothic" w:eastAsia="Arial" w:hAnsi="Century Gothic"/>
          <w:color w:val="000000"/>
          <w:sz w:val="22"/>
          <w:szCs w:val="22"/>
          <w:lang w:bidi="hu-HU"/>
        </w:rPr>
        <w:t>2023. szeptember 1-i lakosságszám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 xml:space="preserve"> 1282 fő.</w:t>
      </w:r>
    </w:p>
    <w:p w14:paraId="75B59963" w14:textId="15076A96" w:rsidR="00A947FD" w:rsidRPr="00A947FD" w:rsidRDefault="00A947FD" w:rsidP="00A947FD">
      <w:pPr>
        <w:widowControl w:val="0"/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A</w:t>
      </w:r>
      <w:r w:rsidR="00301CB7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főállású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</w:t>
      </w:r>
      <w:r w:rsidRPr="00711099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polgármester 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lakosságszámtól füg</w:t>
      </w:r>
      <w:r w:rsidR="00711099">
        <w:rPr>
          <w:rFonts w:ascii="Century Gothic" w:eastAsia="Arial" w:hAnsi="Century Gothic"/>
          <w:color w:val="000000"/>
          <w:sz w:val="22"/>
          <w:szCs w:val="22"/>
          <w:lang w:bidi="hu-HU"/>
        </w:rPr>
        <w:t>gő illetménye az Mötv. 71. § (4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a) bekezdésb</w:t>
      </w:r>
      <w:r w:rsidR="00301CB7">
        <w:rPr>
          <w:rFonts w:ascii="Century Gothic" w:eastAsia="Arial" w:hAnsi="Century Gothic"/>
          <w:color w:val="000000"/>
          <w:sz w:val="22"/>
          <w:szCs w:val="22"/>
          <w:lang w:bidi="hu-HU"/>
        </w:rPr>
        <w:t>en meghatározott összeg (</w:t>
      </w:r>
      <w:r w:rsidR="00301CB7" w:rsidRPr="00301CB7">
        <w:rPr>
          <w:rFonts w:ascii="Century Gothic" w:eastAsia="Arial" w:hAnsi="Century Gothic"/>
          <w:color w:val="000000"/>
          <w:sz w:val="22"/>
          <w:szCs w:val="22"/>
          <w:lang w:bidi="hu-HU"/>
        </w:rPr>
        <w:t>667.365.-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Ft) alapján az Mötv. 71.§ (4) bekezdése szerint a következő:</w:t>
      </w:r>
    </w:p>
    <w:p w14:paraId="52CA6A1E" w14:textId="77777777" w:rsidR="00A947FD" w:rsidRPr="00A947FD" w:rsidRDefault="00A947FD" w:rsidP="00A947FD">
      <w:pPr>
        <w:widowControl w:val="0"/>
        <w:tabs>
          <w:tab w:val="left" w:pos="690"/>
        </w:tabs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tbl>
      <w:tblPr>
        <w:tblW w:w="101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2127"/>
        <w:gridCol w:w="1417"/>
        <w:gridCol w:w="1520"/>
        <w:gridCol w:w="1315"/>
        <w:gridCol w:w="1459"/>
      </w:tblGrid>
      <w:tr w:rsidR="00A947FD" w:rsidRPr="00A947FD" w14:paraId="10898DCB" w14:textId="77777777" w:rsidTr="00711099">
        <w:trPr>
          <w:trHeight w:val="101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5E42E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  <w:t>polgármester illetménye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F860A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Calibri" w:hAnsi="Century Gothic"/>
                <w:sz w:val="22"/>
                <w:szCs w:val="22"/>
                <w:lang w:eastAsia="en-US"/>
              </w:rPr>
            </w:pPr>
            <w:r w:rsidRPr="00A947FD">
              <w:rPr>
                <w:rFonts w:ascii="Century Gothic" w:eastAsia="Calibri" w:hAnsi="Century Gothic"/>
                <w:sz w:val="22"/>
                <w:szCs w:val="22"/>
                <w:lang w:eastAsia="en-US"/>
              </w:rPr>
              <w:t>nemzetgazdasági átlagkereset 2023. évben: 589.114, -</w:t>
            </w:r>
          </w:p>
          <w:p w14:paraId="3065F27E" w14:textId="77777777" w:rsidR="00A947FD" w:rsidRPr="00301CB7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</w:pPr>
            <w:r w:rsidRPr="00301CB7"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  <w:t>2024.évben: 667.365.-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4A2D7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  <w:t>illetmény</w:t>
            </w:r>
          </w:p>
          <w:p w14:paraId="7CB7EE7D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 Unicode MS" w:hAnsi="Century Gothic"/>
                <w:i/>
                <w:color w:val="000000"/>
                <w:sz w:val="22"/>
                <w:szCs w:val="22"/>
                <w:lang w:bidi="hu-HU"/>
              </w:rPr>
              <w:t>2024. október 1-től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53031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  <w:t>költségtérítés</w:t>
            </w:r>
          </w:p>
          <w:p w14:paraId="74568829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" w:hAnsi="Century Gothic"/>
                <w:i/>
                <w:color w:val="000000"/>
                <w:sz w:val="22"/>
                <w:szCs w:val="22"/>
                <w:lang w:bidi="hu-HU"/>
              </w:rPr>
              <w:t>2024. október 1-től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28E39" w14:textId="77777777" w:rsidR="00A947FD" w:rsidRPr="00301CB7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</w:pPr>
            <w:r w:rsidRPr="00301CB7"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  <w:t>illetmény</w:t>
            </w:r>
          </w:p>
          <w:p w14:paraId="7B06E7F6" w14:textId="77777777" w:rsidR="00A947FD" w:rsidRPr="00301CB7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</w:pPr>
            <w:r w:rsidRPr="00301CB7"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  <w:t>2025. július 1-től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DBE9A" w14:textId="77777777" w:rsidR="00A947FD" w:rsidRPr="00301CB7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</w:pPr>
            <w:r w:rsidRPr="00301CB7"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  <w:t>költségtérítés</w:t>
            </w:r>
          </w:p>
          <w:p w14:paraId="6B860C0F" w14:textId="77777777" w:rsidR="00A947FD" w:rsidRPr="00301CB7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</w:pPr>
            <w:r w:rsidRPr="00301CB7">
              <w:rPr>
                <w:rFonts w:ascii="Century Gothic" w:eastAsia="Arial" w:hAnsi="Century Gothic"/>
                <w:b/>
                <w:i/>
                <w:color w:val="000000"/>
                <w:sz w:val="22"/>
                <w:szCs w:val="22"/>
                <w:lang w:bidi="hu-HU"/>
              </w:rPr>
              <w:t>2025. július 1-től</w:t>
            </w:r>
          </w:p>
        </w:tc>
      </w:tr>
      <w:tr w:rsidR="00A947FD" w:rsidRPr="00A947FD" w14:paraId="769804A3" w14:textId="77777777" w:rsidTr="00711099">
        <w:trPr>
          <w:trHeight w:hRule="exact" w:val="6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15F6B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  <w:t>501-1500 fő lakosságszámú település polgármestere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647F7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</w:pPr>
            <w:r w:rsidRPr="00A947FD"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  <w:t>175 %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39C22" w14:textId="77777777" w:rsidR="00A947FD" w:rsidRPr="00711099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Cs/>
                <w:i/>
                <w:color w:val="000000"/>
                <w:sz w:val="22"/>
                <w:szCs w:val="22"/>
                <w:lang w:bidi="hu-HU"/>
              </w:rPr>
            </w:pPr>
            <w:r w:rsidRPr="00711099">
              <w:rPr>
                <w:rFonts w:ascii="Century Gothic" w:eastAsia="Arial" w:hAnsi="Century Gothic"/>
                <w:bCs/>
                <w:i/>
                <w:color w:val="000000"/>
                <w:sz w:val="22"/>
                <w:szCs w:val="22"/>
                <w:lang w:bidi="hu-HU"/>
              </w:rPr>
              <w:t>1.030.900, -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9902E" w14:textId="77777777" w:rsidR="00A947FD" w:rsidRPr="00711099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Cs/>
                <w:i/>
                <w:color w:val="000000"/>
                <w:sz w:val="22"/>
                <w:szCs w:val="22"/>
                <w:lang w:bidi="hu-HU"/>
              </w:rPr>
            </w:pPr>
            <w:r w:rsidRPr="00711099">
              <w:rPr>
                <w:rFonts w:ascii="Century Gothic" w:eastAsia="Arial" w:hAnsi="Century Gothic"/>
                <w:bCs/>
                <w:i/>
                <w:color w:val="000000"/>
                <w:sz w:val="22"/>
                <w:szCs w:val="22"/>
                <w:lang w:bidi="hu-HU"/>
              </w:rPr>
              <w:t>154.635, 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D07A9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</w:pPr>
            <w:bookmarkStart w:id="1" w:name="_Hlk199328752"/>
            <w:r w:rsidRPr="00A947FD"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  <w:t>1.167.900.-</w:t>
            </w:r>
            <w:bookmarkEnd w:id="1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B94CB" w14:textId="77777777" w:rsidR="00A947FD" w:rsidRPr="00A947FD" w:rsidRDefault="00A947FD" w:rsidP="00A947FD">
            <w:pPr>
              <w:widowControl w:val="0"/>
              <w:spacing w:line="276" w:lineRule="auto"/>
              <w:jc w:val="center"/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</w:pPr>
            <w:bookmarkStart w:id="2" w:name="_Hlk199328777"/>
            <w:r w:rsidRPr="00A947FD">
              <w:rPr>
                <w:rFonts w:ascii="Century Gothic" w:eastAsia="Arial" w:hAnsi="Century Gothic"/>
                <w:b/>
                <w:bCs/>
                <w:i/>
                <w:color w:val="000000"/>
                <w:sz w:val="22"/>
                <w:szCs w:val="22"/>
                <w:lang w:bidi="hu-HU"/>
              </w:rPr>
              <w:t>175.185.-</w:t>
            </w:r>
            <w:bookmarkEnd w:id="2"/>
          </w:p>
        </w:tc>
      </w:tr>
    </w:tbl>
    <w:p w14:paraId="40F6D9B3" w14:textId="77777777" w:rsidR="00A947FD" w:rsidRPr="00A947FD" w:rsidRDefault="00A947FD" w:rsidP="00A947FD">
      <w:pPr>
        <w:widowControl w:val="0"/>
        <w:tabs>
          <w:tab w:val="left" w:pos="690"/>
        </w:tabs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590A84DD" w14:textId="77777777" w:rsidR="00A947FD" w:rsidRPr="00A947FD" w:rsidRDefault="00A947FD" w:rsidP="00A947FD">
      <w:pPr>
        <w:widowControl w:val="0"/>
        <w:spacing w:line="276" w:lineRule="auto"/>
        <w:jc w:val="both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A polgármester alapilletményének eltérítésére nincs jogszerű lehetőség,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mivel a 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közszolgálati tisztviselőkről szóló 2011. évi CXCIX. törvény (a továbbiakban: </w:t>
      </w:r>
      <w:proofErr w:type="spellStart"/>
      <w:r w:rsidRPr="00A947FD">
        <w:rPr>
          <w:rFonts w:ascii="Century Gothic" w:eastAsia="Calibri" w:hAnsi="Century Gothic"/>
          <w:sz w:val="22"/>
          <w:szCs w:val="22"/>
          <w:lang w:eastAsia="en-US"/>
        </w:rPr>
        <w:t>Kttv</w:t>
      </w:r>
      <w:proofErr w:type="spellEnd"/>
      <w:r w:rsidRPr="00A947FD">
        <w:rPr>
          <w:rFonts w:ascii="Century Gothic" w:eastAsia="Calibri" w:hAnsi="Century Gothic"/>
          <w:sz w:val="22"/>
          <w:szCs w:val="22"/>
          <w:lang w:eastAsia="en-US"/>
        </w:rPr>
        <w:t>.)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alapilletmény-eltérítésre vonatkozó 133. § (3) bekezdésének alkalmazása a </w:t>
      </w:r>
      <w:proofErr w:type="spellStart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Kttv</w:t>
      </w:r>
      <w:proofErr w:type="spellEnd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. 225/L. § (1) bekezdése alapján a polgármester esetében nem lehetséges. 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(A képviselő-testületnek nincs mérlegelési jogköre)</w:t>
      </w:r>
    </w:p>
    <w:p w14:paraId="0397EE27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14:paraId="7697F5CD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A </w:t>
      </w:r>
      <w:proofErr w:type="spellStart"/>
      <w:r w:rsidRPr="00A947FD">
        <w:rPr>
          <w:rFonts w:ascii="Century Gothic" w:eastAsia="Calibri" w:hAnsi="Century Gothic"/>
          <w:sz w:val="22"/>
          <w:szCs w:val="22"/>
          <w:lang w:eastAsia="en-US"/>
        </w:rPr>
        <w:t>Kttv</w:t>
      </w:r>
      <w:proofErr w:type="spellEnd"/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. 131. § (1) bekezdése kimondja, hogy </w:t>
      </w:r>
      <w:r w:rsidRPr="00A947FD">
        <w:rPr>
          <w:rFonts w:ascii="Century Gothic" w:eastAsia="Calibri" w:hAnsi="Century Gothic"/>
          <w:b/>
          <w:sz w:val="22"/>
          <w:szCs w:val="22"/>
          <w:lang w:eastAsia="en-US"/>
        </w:rPr>
        <w:t>az illetményt 100 Ft-ra kerekítve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 kell megállapítani. A </w:t>
      </w:r>
      <w:proofErr w:type="spellStart"/>
      <w:r w:rsidRPr="00A947FD">
        <w:rPr>
          <w:rFonts w:ascii="Century Gothic" w:eastAsia="Calibri" w:hAnsi="Century Gothic"/>
          <w:sz w:val="22"/>
          <w:szCs w:val="22"/>
          <w:lang w:eastAsia="en-US"/>
        </w:rPr>
        <w:t>Kttv</w:t>
      </w:r>
      <w:proofErr w:type="spellEnd"/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. 225/L. § (1) bekezdése szerint a polgármesteri foglalkoztatási jogviszonyra is alkalmazni kell a 131. § (1) bekezdését. </w:t>
      </w:r>
    </w:p>
    <w:p w14:paraId="3EBDBD0C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14:paraId="100A4DB4" w14:textId="77777777" w:rsidR="00A947FD" w:rsidRPr="00A947FD" w:rsidRDefault="00A947FD" w:rsidP="00A947FD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/>
          <w:b/>
          <w:sz w:val="22"/>
          <w:szCs w:val="22"/>
          <w:lang w:eastAsia="en-US"/>
        </w:rPr>
      </w:pP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Az illetmény, tiszteletdíj, költségtérítés megállapításáról szóló napirendek esetén figyelemmel kell lenni az </w:t>
      </w:r>
      <w:r w:rsidRPr="00A947FD">
        <w:rPr>
          <w:rFonts w:ascii="Century Gothic" w:eastAsia="Calibri" w:hAnsi="Century Gothic"/>
          <w:b/>
          <w:sz w:val="22"/>
          <w:szCs w:val="22"/>
          <w:lang w:eastAsia="en-US"/>
        </w:rPr>
        <w:t>Mötv. 49. § (1) bekezdésében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 foglaltakra is, azaz a </w:t>
      </w:r>
      <w:r w:rsidRPr="00A947FD">
        <w:rPr>
          <w:rFonts w:ascii="Century Gothic" w:eastAsia="Calibri" w:hAnsi="Century Gothic"/>
          <w:b/>
          <w:sz w:val="22"/>
          <w:szCs w:val="22"/>
          <w:u w:val="single"/>
          <w:lang w:eastAsia="en-US"/>
        </w:rPr>
        <w:t>személyes érintettséget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 a polgármester köteles bejelenteni, és a kizárásról a képviselő-testületnek az érintett kezdeményezésére, vagy bármely képviselő javaslatára testületi határozat formájában </w:t>
      </w:r>
      <w:r w:rsidRPr="00A947FD">
        <w:rPr>
          <w:rFonts w:ascii="Century Gothic" w:eastAsia="Calibri" w:hAnsi="Century Gothic"/>
          <w:b/>
          <w:sz w:val="22"/>
          <w:szCs w:val="22"/>
          <w:lang w:eastAsia="en-US"/>
        </w:rPr>
        <w:t>döntenie kell (a kizárás nem kötelező).</w:t>
      </w:r>
    </w:p>
    <w:p w14:paraId="7653ABC8" w14:textId="77777777" w:rsidR="00A947FD" w:rsidRPr="00A947FD" w:rsidRDefault="00A947FD" w:rsidP="00A947FD">
      <w:pPr>
        <w:widowControl w:val="0"/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02F21D1C" w14:textId="77777777" w:rsidR="00A947FD" w:rsidRPr="00A947FD" w:rsidRDefault="00A947FD" w:rsidP="00A947FD">
      <w:pPr>
        <w:widowControl w:val="0"/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Bár 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a polgármester illetményének, tiszteletdíjának mértéke törvényben szabályozott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, mégsem lehet eltekinteni a testületi határozatban történő megállapításától, amelynek során 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a képviselő-testület, mint munkáltatói jogkört gyakorló jár el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a </w:t>
      </w:r>
      <w:proofErr w:type="spellStart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Kttv</w:t>
      </w:r>
      <w:proofErr w:type="spellEnd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. 131. §-ban foglaltak alapján.</w:t>
      </w:r>
    </w:p>
    <w:p w14:paraId="1D535B9E" w14:textId="77777777" w:rsidR="00A947FD" w:rsidRPr="00A947FD" w:rsidRDefault="00A947FD" w:rsidP="00A947FD">
      <w:pPr>
        <w:widowControl w:val="0"/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21EE88D4" w14:textId="3A7F37C4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i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A főállású polgármester változatlanul havonta az illetményének 15%-</w:t>
      </w:r>
      <w:proofErr w:type="spellStart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ában</w:t>
      </w:r>
      <w:proofErr w:type="spellEnd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lastRenderedPageBreak/>
        <w:t>meghatározott összegű költségtérítésre is jogosult. A költségtérítés mértéke egységesen 15%, tehát a képviselő-testületnek itt sincs mérlegelési jogköre, és a költségtérítésről nem lehet lemondani.</w:t>
      </w:r>
      <w:r w:rsidR="0058600F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A költségtérítés esetében a kerekítés szabályai nem alkalmazhatóak.</w:t>
      </w:r>
    </w:p>
    <w:p w14:paraId="570401FC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</w:p>
    <w:p w14:paraId="4FCCF9A3" w14:textId="77777777" w:rsidR="00A947FD" w:rsidRPr="00813356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b/>
          <w:color w:val="000000"/>
          <w:sz w:val="22"/>
          <w:szCs w:val="22"/>
          <w:u w:val="single"/>
          <w:lang w:bidi="hu-HU"/>
        </w:rPr>
      </w:pP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 xml:space="preserve">A költségtérítés összegét a képviselő-testületnek szintén határozatban kell meg állapítania, amely jelen esetben a 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u w:val="single"/>
          <w:lang w:bidi="hu-HU"/>
        </w:rPr>
        <w:t>1.167.900.-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 xml:space="preserve"> Ft tiszteletdíj 15 %-a, azaz összegszerűen </w:t>
      </w:r>
      <w:r w:rsidRPr="00813356">
        <w:rPr>
          <w:rFonts w:ascii="Century Gothic" w:eastAsia="Arial" w:hAnsi="Century Gothic"/>
          <w:b/>
          <w:color w:val="000000"/>
          <w:sz w:val="22"/>
          <w:szCs w:val="22"/>
          <w:u w:val="single"/>
          <w:lang w:bidi="hu-HU"/>
        </w:rPr>
        <w:t>175.185.- Ft.</w:t>
      </w:r>
    </w:p>
    <w:p w14:paraId="0591BAEF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</w:p>
    <w:p w14:paraId="42BD18B3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A fentiek alapján a polgármester havi illetménye, illetve költségtérítése </w:t>
      </w:r>
      <w:r w:rsidRPr="00A947FD">
        <w:rPr>
          <w:rFonts w:ascii="Century Gothic" w:eastAsia="Calibri" w:hAnsi="Century Gothic"/>
          <w:b/>
          <w:bCs/>
          <w:sz w:val="22"/>
          <w:szCs w:val="22"/>
          <w:lang w:eastAsia="en-US"/>
        </w:rPr>
        <w:t>mindösszesen bruttó 1.343.085.- Ft</w:t>
      </w:r>
    </w:p>
    <w:p w14:paraId="6B695581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b/>
          <w:color w:val="000000"/>
          <w:sz w:val="22"/>
          <w:szCs w:val="22"/>
          <w:u w:val="single"/>
          <w:lang w:bidi="hu-HU"/>
        </w:rPr>
      </w:pPr>
    </w:p>
    <w:p w14:paraId="332EED30" w14:textId="77777777" w:rsidR="00A947FD" w:rsidRPr="00711099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u w:val="single"/>
          <w:lang w:bidi="hu-HU"/>
        </w:rPr>
      </w:pPr>
      <w:r w:rsidRPr="00711099">
        <w:rPr>
          <w:rFonts w:ascii="Century Gothic" w:eastAsia="Arial" w:hAnsi="Century Gothic"/>
          <w:color w:val="000000"/>
          <w:sz w:val="22"/>
          <w:szCs w:val="22"/>
          <w:u w:val="single"/>
          <w:lang w:bidi="hu-HU"/>
        </w:rPr>
        <w:t>Döntési javaslat:</w:t>
      </w:r>
    </w:p>
    <w:p w14:paraId="2A4E1AEA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b/>
          <w:color w:val="000000"/>
          <w:sz w:val="22"/>
          <w:szCs w:val="22"/>
          <w:u w:val="single"/>
          <w:lang w:bidi="hu-HU"/>
        </w:rPr>
      </w:pPr>
    </w:p>
    <w:p w14:paraId="116B39A2" w14:textId="75D2C0E5" w:rsidR="00A947FD" w:rsidRPr="00A947FD" w:rsidRDefault="00A947FD" w:rsidP="00A947FD">
      <w:pPr>
        <w:widowControl w:val="0"/>
        <w:pBdr>
          <w:bottom w:val="single" w:sz="4" w:space="1" w:color="auto"/>
        </w:pBdr>
        <w:tabs>
          <w:tab w:val="left" w:pos="567"/>
        </w:tabs>
        <w:spacing w:line="276" w:lineRule="auto"/>
        <w:ind w:left="567"/>
        <w:jc w:val="center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Balatonberény Község Önkormányzat Képviselő-testületének</w:t>
      </w:r>
    </w:p>
    <w:p w14:paraId="598EBF49" w14:textId="4327ACEE" w:rsidR="00A947FD" w:rsidRPr="00A947FD" w:rsidRDefault="00A947FD" w:rsidP="00A947FD">
      <w:pPr>
        <w:widowControl w:val="0"/>
        <w:pBdr>
          <w:bottom w:val="single" w:sz="4" w:space="1" w:color="auto"/>
        </w:pBdr>
        <w:tabs>
          <w:tab w:val="left" w:pos="567"/>
        </w:tabs>
        <w:spacing w:line="276" w:lineRule="auto"/>
        <w:ind w:left="567"/>
        <w:jc w:val="center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………/20</w:t>
      </w:r>
      <w:r w:rsidR="00711099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25.(VI.27</w:t>
      </w:r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) képviselő-testületi határozata</w:t>
      </w:r>
    </w:p>
    <w:p w14:paraId="544D3FA4" w14:textId="19388DF4" w:rsidR="00A947FD" w:rsidRPr="00A947FD" w:rsidRDefault="00A947FD" w:rsidP="00A947FD">
      <w:pPr>
        <w:widowControl w:val="0"/>
        <w:pBdr>
          <w:bottom w:val="single" w:sz="4" w:space="1" w:color="auto"/>
        </w:pBdr>
        <w:tabs>
          <w:tab w:val="left" w:pos="567"/>
        </w:tabs>
        <w:spacing w:line="276" w:lineRule="auto"/>
        <w:ind w:left="567"/>
        <w:jc w:val="center"/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</w:pPr>
      <w:proofErr w:type="gramStart"/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>a</w:t>
      </w:r>
      <w:proofErr w:type="gramEnd"/>
      <w:r w:rsidRPr="00A947FD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 xml:space="preserve"> polgármester illetményének és költségtérítésének megállapításáról</w:t>
      </w:r>
      <w:r w:rsidR="00711099">
        <w:rPr>
          <w:rFonts w:ascii="Century Gothic" w:eastAsia="Arial" w:hAnsi="Century Gothic"/>
          <w:b/>
          <w:color w:val="000000"/>
          <w:sz w:val="22"/>
          <w:szCs w:val="22"/>
          <w:lang w:bidi="hu-HU"/>
        </w:rPr>
        <w:t xml:space="preserve"> 2025. július 1. napjától kezdődően</w:t>
      </w:r>
    </w:p>
    <w:p w14:paraId="328F548A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3FAB036E" w14:textId="522B9AD2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Balatonberény Község Önkormányzatának Képviselő-testülete a Magyarország helyi önkormányzatairól szóló 2011. évi</w:t>
      </w:r>
      <w:r w:rsidR="005B2EA6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CLXXXIX. törvény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71.§ (4) bekezdés b) pontja</w:t>
      </w:r>
      <w:r w:rsidR="00711099">
        <w:rPr>
          <w:rFonts w:ascii="Century Gothic" w:eastAsia="Arial" w:hAnsi="Century Gothic"/>
          <w:color w:val="000000"/>
          <w:sz w:val="22"/>
          <w:szCs w:val="22"/>
          <w:lang w:bidi="hu-HU"/>
        </w:rPr>
        <w:t>, (4a)</w:t>
      </w:r>
      <w:r w:rsidR="00744035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és (6) bekezdése alapján </w:t>
      </w:r>
      <w:proofErr w:type="spellStart"/>
      <w:r w:rsidR="00744035">
        <w:rPr>
          <w:rFonts w:ascii="Century Gothic" w:eastAsia="Arial" w:hAnsi="Century Gothic"/>
          <w:color w:val="000000"/>
          <w:sz w:val="22"/>
          <w:szCs w:val="22"/>
          <w:lang w:bidi="hu-HU"/>
        </w:rPr>
        <w:t>Drusko</w:t>
      </w: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czi</w:t>
      </w:r>
      <w:proofErr w:type="spellEnd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Tünde főállású polgármester havi illetményét 2025. július 1. napjától – figyelemmel a 2023. szeptember 1-jei 1282 fő lakosságszámra és 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az </w:t>
      </w:r>
      <w:r w:rsidR="00711099">
        <w:rPr>
          <w:rFonts w:ascii="Century Gothic" w:eastAsia="Calibri" w:hAnsi="Century Gothic"/>
          <w:sz w:val="22"/>
          <w:szCs w:val="22"/>
          <w:lang w:eastAsia="en-US"/>
        </w:rPr>
        <w:t>Mötv. 146/M. §-</w:t>
      </w:r>
      <w:proofErr w:type="spellStart"/>
      <w:r w:rsidR="00711099">
        <w:rPr>
          <w:rFonts w:ascii="Century Gothic" w:eastAsia="Calibri" w:hAnsi="Century Gothic"/>
          <w:sz w:val="22"/>
          <w:szCs w:val="22"/>
          <w:lang w:eastAsia="en-US"/>
        </w:rPr>
        <w:t>ban</w:t>
      </w:r>
      <w:proofErr w:type="spellEnd"/>
      <w:r w:rsidR="00711099">
        <w:rPr>
          <w:rFonts w:ascii="Century Gothic" w:eastAsia="Calibri" w:hAnsi="Century Gothic"/>
          <w:sz w:val="22"/>
          <w:szCs w:val="22"/>
          <w:lang w:eastAsia="en-US"/>
        </w:rPr>
        <w:t xml:space="preserve"> foglaltakra- 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>bruttó 1.167.900.- Ft-ban, költ</w:t>
      </w:r>
      <w:r w:rsidR="00711099">
        <w:rPr>
          <w:rFonts w:ascii="Century Gothic" w:eastAsia="Calibri" w:hAnsi="Century Gothic"/>
          <w:sz w:val="22"/>
          <w:szCs w:val="22"/>
          <w:lang w:eastAsia="en-US"/>
        </w:rPr>
        <w:t xml:space="preserve">ségtérítését 2025. július 1. napjától </w:t>
      </w:r>
      <w:r w:rsidRPr="00A947FD">
        <w:rPr>
          <w:rFonts w:ascii="Century Gothic" w:eastAsia="Calibri" w:hAnsi="Century Gothic"/>
          <w:sz w:val="22"/>
          <w:szCs w:val="22"/>
          <w:lang w:eastAsia="en-US"/>
        </w:rPr>
        <w:t xml:space="preserve">bruttó 175.185.- Ft-ban állapítja meg. </w:t>
      </w:r>
    </w:p>
    <w:p w14:paraId="1EAF6FE0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4B63A0D7" w14:textId="65B1C2D9" w:rsidR="00A947FD" w:rsidRPr="00A947FD" w:rsidRDefault="005B2EA6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>
        <w:rPr>
          <w:rFonts w:ascii="Century Gothic" w:eastAsia="Arial" w:hAnsi="Century Gothic"/>
          <w:color w:val="000000"/>
          <w:sz w:val="22"/>
          <w:szCs w:val="22"/>
          <w:lang w:bidi="hu-HU"/>
        </w:rPr>
        <w:t>Határidő: 2025. július 1.</w:t>
      </w:r>
    </w:p>
    <w:p w14:paraId="481E4859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Felelős: Takácsné dr. Simán Zsuzsanna jegyző</w:t>
      </w:r>
    </w:p>
    <w:p w14:paraId="4CCA5BEB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4D9EF7B9" w14:textId="77777777" w:rsidR="00A947FD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191EADA0" w14:textId="77777777" w:rsidR="00A947FD" w:rsidRDefault="00A947FD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4C2EFE99" w14:textId="238D564A" w:rsidR="00A947FD" w:rsidRPr="00A947FD" w:rsidRDefault="00813356" w:rsidP="00A947FD">
      <w:pPr>
        <w:widowControl w:val="0"/>
        <w:tabs>
          <w:tab w:val="left" w:pos="567"/>
        </w:tabs>
        <w:spacing w:line="276" w:lineRule="auto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>
        <w:rPr>
          <w:rFonts w:ascii="Century Gothic" w:eastAsia="Arial" w:hAnsi="Century Gothic"/>
          <w:color w:val="000000"/>
          <w:sz w:val="22"/>
          <w:szCs w:val="22"/>
          <w:lang w:bidi="hu-HU"/>
        </w:rPr>
        <w:t>Balatonberény, 2025. június 12</w:t>
      </w:r>
      <w:r w:rsidR="00A947FD"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.</w:t>
      </w:r>
    </w:p>
    <w:p w14:paraId="41EA0F12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4B50F710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7C22EC43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both"/>
        <w:rPr>
          <w:rFonts w:ascii="Century Gothic" w:eastAsia="Arial" w:hAnsi="Century Gothic"/>
          <w:color w:val="000000"/>
          <w:sz w:val="22"/>
          <w:szCs w:val="22"/>
          <w:lang w:bidi="hu-HU"/>
        </w:rPr>
      </w:pPr>
    </w:p>
    <w:p w14:paraId="62CEC32B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right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Takácsné dr. Simán Zsuzsanna </w:t>
      </w:r>
      <w:proofErr w:type="spellStart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sk</w:t>
      </w:r>
      <w:proofErr w:type="spellEnd"/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>.</w:t>
      </w:r>
    </w:p>
    <w:p w14:paraId="31223A24" w14:textId="77777777" w:rsidR="00A947FD" w:rsidRPr="00A947FD" w:rsidRDefault="00A947FD" w:rsidP="00A947FD">
      <w:pPr>
        <w:widowControl w:val="0"/>
        <w:tabs>
          <w:tab w:val="left" w:pos="567"/>
        </w:tabs>
        <w:spacing w:line="276" w:lineRule="auto"/>
        <w:ind w:left="567"/>
        <w:jc w:val="center"/>
        <w:rPr>
          <w:rFonts w:ascii="Century Gothic" w:eastAsia="Arial" w:hAnsi="Century Gothic"/>
          <w:color w:val="000000"/>
          <w:sz w:val="22"/>
          <w:szCs w:val="22"/>
          <w:lang w:bidi="hu-HU"/>
        </w:rPr>
      </w:pPr>
      <w:r w:rsidRPr="00A947FD">
        <w:rPr>
          <w:rFonts w:ascii="Century Gothic" w:eastAsia="Arial" w:hAnsi="Century Gothic"/>
          <w:color w:val="000000"/>
          <w:sz w:val="22"/>
          <w:szCs w:val="22"/>
          <w:lang w:bidi="hu-HU"/>
        </w:rPr>
        <w:t xml:space="preserve">                                                                                           jegyző</w:t>
      </w:r>
    </w:p>
    <w:p w14:paraId="249A8D0D" w14:textId="77777777" w:rsidR="00992731" w:rsidRDefault="00992731" w:rsidP="00992731"/>
    <w:p w14:paraId="5821FD78" w14:textId="77777777" w:rsidR="00992731" w:rsidRDefault="00992731" w:rsidP="0021077E">
      <w:pPr>
        <w:rPr>
          <w:rFonts w:ascii="Century Gothic" w:hAnsi="Century Gothic"/>
          <w:sz w:val="22"/>
          <w:szCs w:val="22"/>
        </w:rPr>
      </w:pPr>
    </w:p>
    <w:p w14:paraId="2B05C4F4" w14:textId="77777777" w:rsidR="00A01B89" w:rsidRDefault="00A01B89"/>
    <w:p w14:paraId="17618EBF" w14:textId="77777777" w:rsidR="00992731" w:rsidRDefault="00992731"/>
    <w:p w14:paraId="14AE0184" w14:textId="77777777" w:rsidR="00992731" w:rsidRDefault="00992731"/>
    <w:p w14:paraId="7D50181E" w14:textId="77777777" w:rsidR="00992731" w:rsidRDefault="00992731"/>
    <w:p w14:paraId="04BA25DF" w14:textId="77777777" w:rsidR="00992731" w:rsidRDefault="00992731"/>
    <w:p w14:paraId="744B8FEF" w14:textId="77777777" w:rsidR="00992731" w:rsidRDefault="00992731"/>
    <w:p w14:paraId="7D85D9A6" w14:textId="3F1997DC" w:rsidR="00992731" w:rsidRDefault="00992731"/>
    <w:sectPr w:rsidR="00992731" w:rsidSect="002107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26B1D" w14:textId="77777777" w:rsidR="00431F20" w:rsidRDefault="00431F20">
      <w:r>
        <w:separator/>
      </w:r>
    </w:p>
  </w:endnote>
  <w:endnote w:type="continuationSeparator" w:id="0">
    <w:p w14:paraId="12E8054D" w14:textId="77777777" w:rsidR="00431F20" w:rsidRDefault="0043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Segoe UI Symbol"/>
    <w:charset w:val="02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375E3" w14:textId="1A8852BF" w:rsidR="0021077E" w:rsidRDefault="0021077E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813356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DFD06" w14:textId="77777777" w:rsidR="00431F20" w:rsidRDefault="00431F20">
      <w:r>
        <w:separator/>
      </w:r>
    </w:p>
  </w:footnote>
  <w:footnote w:type="continuationSeparator" w:id="0">
    <w:p w14:paraId="474FE707" w14:textId="77777777" w:rsidR="00431F20" w:rsidRDefault="00431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54895"/>
    <w:multiLevelType w:val="hybridMultilevel"/>
    <w:tmpl w:val="C1A207B6"/>
    <w:lvl w:ilvl="0" w:tplc="4A1A1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E0ED2"/>
    <w:multiLevelType w:val="multilevel"/>
    <w:tmpl w:val="F9E68038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7E"/>
    <w:rsid w:val="00031E44"/>
    <w:rsid w:val="00032420"/>
    <w:rsid w:val="00052C2C"/>
    <w:rsid w:val="000A2FD6"/>
    <w:rsid w:val="000B6A72"/>
    <w:rsid w:val="00154AE5"/>
    <w:rsid w:val="00155139"/>
    <w:rsid w:val="00184DCC"/>
    <w:rsid w:val="001B753E"/>
    <w:rsid w:val="001C0FBE"/>
    <w:rsid w:val="001E7DD9"/>
    <w:rsid w:val="001F4E36"/>
    <w:rsid w:val="001F76AD"/>
    <w:rsid w:val="0021077E"/>
    <w:rsid w:val="00214A93"/>
    <w:rsid w:val="002434E4"/>
    <w:rsid w:val="00296960"/>
    <w:rsid w:val="00301CB7"/>
    <w:rsid w:val="00305DE6"/>
    <w:rsid w:val="00382514"/>
    <w:rsid w:val="003A6971"/>
    <w:rsid w:val="003C4F38"/>
    <w:rsid w:val="003F4F86"/>
    <w:rsid w:val="00414C64"/>
    <w:rsid w:val="00431F20"/>
    <w:rsid w:val="00444AF3"/>
    <w:rsid w:val="00452040"/>
    <w:rsid w:val="004813EC"/>
    <w:rsid w:val="004A1551"/>
    <w:rsid w:val="004F028F"/>
    <w:rsid w:val="004F4C12"/>
    <w:rsid w:val="00512B3A"/>
    <w:rsid w:val="00535214"/>
    <w:rsid w:val="0058600F"/>
    <w:rsid w:val="005B2EA6"/>
    <w:rsid w:val="005B3258"/>
    <w:rsid w:val="00635F90"/>
    <w:rsid w:val="0068066A"/>
    <w:rsid w:val="00686156"/>
    <w:rsid w:val="00693DE9"/>
    <w:rsid w:val="006A4FD2"/>
    <w:rsid w:val="006A7DF5"/>
    <w:rsid w:val="00711099"/>
    <w:rsid w:val="0073482A"/>
    <w:rsid w:val="00744035"/>
    <w:rsid w:val="00805725"/>
    <w:rsid w:val="00813356"/>
    <w:rsid w:val="0082002E"/>
    <w:rsid w:val="00843538"/>
    <w:rsid w:val="00886B34"/>
    <w:rsid w:val="008C65E8"/>
    <w:rsid w:val="00933799"/>
    <w:rsid w:val="00957A04"/>
    <w:rsid w:val="00992731"/>
    <w:rsid w:val="009A7FD9"/>
    <w:rsid w:val="00A01B89"/>
    <w:rsid w:val="00A34E9E"/>
    <w:rsid w:val="00A5727F"/>
    <w:rsid w:val="00A947FD"/>
    <w:rsid w:val="00AC7300"/>
    <w:rsid w:val="00AE1F71"/>
    <w:rsid w:val="00B05D42"/>
    <w:rsid w:val="00B1198B"/>
    <w:rsid w:val="00B37184"/>
    <w:rsid w:val="00B65389"/>
    <w:rsid w:val="00B734CE"/>
    <w:rsid w:val="00BC04D3"/>
    <w:rsid w:val="00C1231D"/>
    <w:rsid w:val="00C2572C"/>
    <w:rsid w:val="00C41801"/>
    <w:rsid w:val="00C526B3"/>
    <w:rsid w:val="00C54EA2"/>
    <w:rsid w:val="00CA4B31"/>
    <w:rsid w:val="00D13C49"/>
    <w:rsid w:val="00D45854"/>
    <w:rsid w:val="00EA7BE3"/>
    <w:rsid w:val="00F2686C"/>
    <w:rsid w:val="00F5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F54B"/>
  <w15:chartTrackingRefBased/>
  <w15:docId w15:val="{2BEBEB9C-2807-40EA-A933-1B81320D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21077E"/>
    <w:pPr>
      <w:spacing w:after="120"/>
      <w:jc w:val="both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21077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2107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1077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őCím"/>
    <w:basedOn w:val="Norml"/>
    <w:rsid w:val="0021077E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character" w:customStyle="1" w:styleId="NincstrkzChar">
    <w:name w:val="Nincs térköz Char"/>
    <w:link w:val="Nincstrkz"/>
    <w:uiPriority w:val="1"/>
    <w:locked/>
    <w:rsid w:val="0021077E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21077E"/>
    <w:pPr>
      <w:spacing w:after="0" w:line="240" w:lineRule="auto"/>
    </w:pPr>
    <w:rPr>
      <w:rFonts w:ascii="Calibri" w:hAnsi="Calibri"/>
      <w:lang w:eastAsia="hu-HU"/>
    </w:rPr>
  </w:style>
  <w:style w:type="paragraph" w:customStyle="1" w:styleId="FCm0">
    <w:name w:val="FôCím"/>
    <w:basedOn w:val="Norml"/>
    <w:rsid w:val="0021077E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msor11">
    <w:name w:val="Címsor 11"/>
    <w:basedOn w:val="Heading"/>
    <w:next w:val="Szvegtrzs"/>
    <w:qFormat/>
    <w:rsid w:val="0021077E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21077E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21077E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21077E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21077E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21077E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21077E"/>
    <w:rPr>
      <w:color w:val="000080"/>
      <w:u w:val="single"/>
    </w:rPr>
  </w:style>
  <w:style w:type="character" w:customStyle="1" w:styleId="VisitedInternetLink">
    <w:name w:val="Visited Internet Link"/>
    <w:rsid w:val="0021077E"/>
    <w:rPr>
      <w:color w:val="800000"/>
      <w:u w:val="single"/>
    </w:rPr>
  </w:style>
  <w:style w:type="character" w:customStyle="1" w:styleId="NumberingSymbols">
    <w:name w:val="Numbering Symbols"/>
    <w:qFormat/>
    <w:rsid w:val="0021077E"/>
  </w:style>
  <w:style w:type="character" w:customStyle="1" w:styleId="Bullets">
    <w:name w:val="Bullets"/>
    <w:qFormat/>
    <w:rsid w:val="0021077E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21077E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21077E"/>
    <w:pPr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paragraph" w:customStyle="1" w:styleId="Kpalrs1">
    <w:name w:val="Képaláírás1"/>
    <w:basedOn w:val="Norml"/>
    <w:qFormat/>
    <w:rsid w:val="0021077E"/>
    <w:pPr>
      <w:suppressLineNumber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Index">
    <w:name w:val="Index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llb1">
    <w:name w:val="Élőláb1"/>
    <w:basedOn w:val="Norml"/>
    <w:rsid w:val="0021077E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lang w:eastAsia="zh-CN" w:bidi="hi-IN"/>
    </w:rPr>
  </w:style>
  <w:style w:type="paragraph" w:customStyle="1" w:styleId="TableContents">
    <w:name w:val="Table Contents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TableHeading">
    <w:name w:val="Table Heading"/>
    <w:basedOn w:val="TableContents"/>
    <w:qFormat/>
    <w:rsid w:val="0021077E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1077E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  <w:style w:type="paragraph" w:styleId="Listaszerbekezds">
    <w:name w:val="List Paragraph"/>
    <w:basedOn w:val="Norml"/>
    <w:uiPriority w:val="34"/>
    <w:qFormat/>
    <w:rsid w:val="00EA7BE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B753E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B7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816</Words>
  <Characters>5637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dcterms:created xsi:type="dcterms:W3CDTF">2025-05-28T11:01:00Z</dcterms:created>
  <dcterms:modified xsi:type="dcterms:W3CDTF">2025-06-12T10:29:00Z</dcterms:modified>
</cp:coreProperties>
</file>